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0" w:rsidRPr="00D03176" w:rsidRDefault="000D6FB0" w:rsidP="000D6FB0">
      <w:pPr>
        <w:rPr>
          <w:rFonts w:ascii="Arial" w:hAnsi="Arial" w:cs="Arial"/>
        </w:rPr>
      </w:pPr>
    </w:p>
    <w:p w:rsidR="000D6FB0" w:rsidRPr="00D03176" w:rsidRDefault="000D6FB0" w:rsidP="000D6FB0">
      <w:pPr>
        <w:rPr>
          <w:rFonts w:ascii="Arial" w:hAnsi="Arial" w:cs="Arial"/>
        </w:rPr>
      </w:pPr>
    </w:p>
    <w:p w:rsidR="000D6FB0" w:rsidRPr="00D03176" w:rsidRDefault="000D6FB0" w:rsidP="000D6FB0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</w:pPr>
      <w:r w:rsidRPr="00D03176"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  <w:t xml:space="preserve">PROGRAMMA </w:t>
      </w:r>
      <w:proofErr w:type="spellStart"/>
      <w:r w:rsidRPr="00D03176"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  <w:t>DI</w:t>
      </w:r>
      <w:proofErr w:type="spellEnd"/>
      <w:r w:rsidRPr="00D03176"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  <w:t xml:space="preserve"> SVILUPPO RURALE</w:t>
      </w:r>
    </w:p>
    <w:p w:rsidR="000D6FB0" w:rsidRPr="00D03176" w:rsidRDefault="000D6FB0" w:rsidP="000D6FB0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</w:pPr>
      <w:r w:rsidRPr="00D03176">
        <w:rPr>
          <w:rFonts w:ascii="Arial" w:hAnsi="Arial" w:cs="Arial"/>
          <w:b/>
          <w:bCs/>
          <w:caps/>
          <w:spacing w:val="30"/>
          <w:kern w:val="20"/>
          <w:sz w:val="22"/>
          <w:szCs w:val="22"/>
          <w:u w:val="single"/>
        </w:rPr>
        <w:t>DELLA REGIONE CALABRIA 2014 - 2020</w:t>
      </w:r>
    </w:p>
    <w:p w:rsidR="000D6FB0" w:rsidRPr="00D03176" w:rsidRDefault="000D6FB0" w:rsidP="000D6FB0">
      <w:pPr>
        <w:rPr>
          <w:rFonts w:ascii="Arial" w:hAnsi="Arial" w:cs="Arial"/>
        </w:rPr>
      </w:pPr>
    </w:p>
    <w:p w:rsidR="000D6FB0" w:rsidRPr="00D03176" w:rsidRDefault="000D6FB0" w:rsidP="000D6FB0">
      <w:pPr>
        <w:rPr>
          <w:rFonts w:ascii="Arial" w:hAnsi="Arial" w:cs="Arial"/>
        </w:rPr>
      </w:pPr>
    </w:p>
    <w:p w:rsidR="00835E88" w:rsidRDefault="00835E88" w:rsidP="00835E88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6B29">
        <w:rPr>
          <w:rFonts w:ascii="Arial" w:hAnsi="Arial" w:cs="Arial"/>
          <w:sz w:val="22"/>
          <w:szCs w:val="22"/>
          <w:u w:val="single"/>
        </w:rPr>
        <w:t>Disposizioni Attuative per il trattamento delle domande di sostegno intervento 2.1.1</w:t>
      </w:r>
    </w:p>
    <w:p w:rsidR="00835E88" w:rsidRDefault="00835E88" w:rsidP="00835E88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835E88" w:rsidRPr="00F30A7E" w:rsidRDefault="00835E88" w:rsidP="00835E88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Scheda di ingresso</w:t>
      </w:r>
    </w:p>
    <w:p w:rsidR="000D6FB0" w:rsidRPr="00D03176" w:rsidRDefault="000D6FB0" w:rsidP="000D6FB0">
      <w:pPr>
        <w:rPr>
          <w:rFonts w:ascii="Arial" w:hAnsi="Arial" w:cs="Arial"/>
        </w:rPr>
      </w:pPr>
    </w:p>
    <w:p w:rsidR="000D6FB0" w:rsidRPr="00D03176" w:rsidRDefault="000D6FB0" w:rsidP="000D6FB0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/>
      </w:tblPr>
      <w:tblGrid>
        <w:gridCol w:w="2446"/>
        <w:gridCol w:w="7182"/>
      </w:tblGrid>
      <w:tr w:rsidR="000D6FB0" w:rsidRPr="00D03176" w:rsidTr="0070494F">
        <w:trPr>
          <w:trHeight w:val="583"/>
        </w:trPr>
        <w:tc>
          <w:tcPr>
            <w:tcW w:w="9628" w:type="dxa"/>
            <w:gridSpan w:val="2"/>
            <w:shd w:val="clear" w:color="auto" w:fill="5B9BD5" w:themeFill="accent1"/>
            <w:vAlign w:val="center"/>
          </w:tcPr>
          <w:p w:rsidR="000D6FB0" w:rsidRPr="00D03176" w:rsidRDefault="000D6FB0" w:rsidP="0070494F">
            <w:pPr>
              <w:spacing w:before="71" w:line="234" w:lineRule="exact"/>
              <w:jc w:val="center"/>
              <w:rPr>
                <w:rFonts w:ascii="Arial" w:eastAsia="Cambria" w:hAnsi="Arial" w:cs="Arial"/>
                <w:b/>
                <w:color w:val="FFFFFF" w:themeColor="background1"/>
              </w:rPr>
            </w:pPr>
            <w:r w:rsidRPr="00D03176">
              <w:rPr>
                <w:rFonts w:ascii="Arial" w:eastAsia="Cambria" w:hAnsi="Arial" w:cs="Arial"/>
                <w:b/>
                <w:color w:val="FFFFFF" w:themeColor="background1"/>
              </w:rPr>
              <w:t>Misura 2 – Servizi di consulenza, di sostituzione e di assistenza alla gestione delle aziende agricole</w:t>
            </w:r>
          </w:p>
        </w:tc>
      </w:tr>
      <w:tr w:rsidR="000D6FB0" w:rsidRPr="00D03176" w:rsidTr="0070494F">
        <w:trPr>
          <w:trHeight w:val="561"/>
        </w:trPr>
        <w:tc>
          <w:tcPr>
            <w:tcW w:w="2446" w:type="dxa"/>
            <w:vAlign w:val="center"/>
          </w:tcPr>
          <w:p w:rsidR="000D6FB0" w:rsidRPr="00D03176" w:rsidRDefault="000D6FB0" w:rsidP="0070494F">
            <w:pPr>
              <w:spacing w:before="71" w:line="234" w:lineRule="exact"/>
              <w:rPr>
                <w:rFonts w:ascii="Arial" w:eastAsia="Cambria" w:hAnsi="Arial" w:cs="Arial"/>
                <w:b/>
              </w:rPr>
            </w:pPr>
            <w:r w:rsidRPr="00D03176">
              <w:rPr>
                <w:rFonts w:ascii="Arial" w:eastAsia="Cambria" w:hAnsi="Arial" w:cs="Arial"/>
                <w:b/>
              </w:rPr>
              <w:t>Misura</w:t>
            </w:r>
          </w:p>
        </w:tc>
        <w:tc>
          <w:tcPr>
            <w:tcW w:w="7182" w:type="dxa"/>
            <w:vAlign w:val="center"/>
          </w:tcPr>
          <w:p w:rsidR="000D6FB0" w:rsidRPr="00D03176" w:rsidRDefault="000D6FB0" w:rsidP="0070494F">
            <w:pPr>
              <w:spacing w:before="71" w:line="234" w:lineRule="exact"/>
              <w:rPr>
                <w:rFonts w:ascii="Arial" w:eastAsia="Cambria" w:hAnsi="Arial" w:cs="Arial"/>
              </w:rPr>
            </w:pPr>
            <w:r w:rsidRPr="00D03176">
              <w:rPr>
                <w:rFonts w:ascii="Arial" w:eastAsia="Cambria" w:hAnsi="Arial" w:cs="Arial"/>
              </w:rPr>
              <w:t>Servizi di consulenza, di sostituzione e di assistenza alla gestione delle aziende agricole</w:t>
            </w:r>
          </w:p>
        </w:tc>
      </w:tr>
      <w:tr w:rsidR="000D6FB0" w:rsidRPr="00D03176" w:rsidTr="00196B29">
        <w:trPr>
          <w:trHeight w:val="793"/>
        </w:trPr>
        <w:tc>
          <w:tcPr>
            <w:tcW w:w="2446" w:type="dxa"/>
            <w:vAlign w:val="center"/>
          </w:tcPr>
          <w:p w:rsidR="000D6FB0" w:rsidRPr="00D03176" w:rsidRDefault="000D6FB0" w:rsidP="0070494F">
            <w:pPr>
              <w:spacing w:before="71" w:line="234" w:lineRule="exact"/>
              <w:jc w:val="center"/>
              <w:rPr>
                <w:rFonts w:ascii="Arial" w:eastAsia="Cambria" w:hAnsi="Arial" w:cs="Arial"/>
                <w:b/>
              </w:rPr>
            </w:pPr>
            <w:r w:rsidRPr="00D03176">
              <w:rPr>
                <w:rFonts w:ascii="Arial" w:eastAsia="Cambria" w:hAnsi="Arial" w:cs="Arial"/>
                <w:b/>
              </w:rPr>
              <w:t>Intervento</w:t>
            </w:r>
            <w:r w:rsidR="007B1DDD" w:rsidRPr="00D03176">
              <w:rPr>
                <w:rFonts w:ascii="Arial" w:eastAsia="Cambria" w:hAnsi="Arial" w:cs="Arial"/>
                <w:b/>
              </w:rPr>
              <w:t xml:space="preserve"> 2.1.1</w:t>
            </w:r>
          </w:p>
        </w:tc>
        <w:tc>
          <w:tcPr>
            <w:tcW w:w="7182" w:type="dxa"/>
            <w:vAlign w:val="center"/>
          </w:tcPr>
          <w:p w:rsidR="000D6FB0" w:rsidRPr="00D03176" w:rsidRDefault="000D6FB0" w:rsidP="0070494F">
            <w:pPr>
              <w:spacing w:before="71" w:line="234" w:lineRule="exact"/>
              <w:rPr>
                <w:rFonts w:ascii="Arial" w:eastAsia="Cambria" w:hAnsi="Arial" w:cs="Arial"/>
              </w:rPr>
            </w:pPr>
            <w:r w:rsidRPr="00D03176">
              <w:rPr>
                <w:rFonts w:ascii="Arial" w:eastAsia="Cambria" w:hAnsi="Arial" w:cs="Arial"/>
              </w:rPr>
              <w:t>Erogazione di servizi di consulenza alle aziende</w:t>
            </w:r>
          </w:p>
        </w:tc>
      </w:tr>
    </w:tbl>
    <w:p w:rsidR="000D6FB0" w:rsidRPr="00D03176" w:rsidRDefault="000D6FB0" w:rsidP="000D6FB0">
      <w:pPr>
        <w:rPr>
          <w:rFonts w:ascii="Arial" w:hAnsi="Arial" w:cs="Arial"/>
        </w:rPr>
      </w:pPr>
    </w:p>
    <w:p w:rsidR="000D6FB0" w:rsidRPr="00D03176" w:rsidRDefault="000D6FB0" w:rsidP="000D6FB0">
      <w:pPr>
        <w:rPr>
          <w:rFonts w:ascii="Arial" w:hAnsi="Arial" w:cs="Arial"/>
        </w:rPr>
      </w:pPr>
    </w:p>
    <w:p w:rsidR="005573AA" w:rsidRPr="00D03176" w:rsidRDefault="005573AA" w:rsidP="000D6FB0">
      <w:pPr>
        <w:rPr>
          <w:rFonts w:ascii="Arial" w:hAnsi="Arial" w:cs="Arial"/>
        </w:rPr>
        <w:sectPr w:rsidR="005573AA" w:rsidRPr="00D03176" w:rsidSect="00326111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2361"/>
        <w:gridCol w:w="7493"/>
      </w:tblGrid>
      <w:tr w:rsidR="00D5794A" w:rsidRPr="00D03176" w:rsidTr="00835E8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D5794A" w:rsidRPr="00074278" w:rsidRDefault="00A51E4A" w:rsidP="00AF397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 w:rsidRPr="00074278">
              <w:rPr>
                <w:rFonts w:ascii="Arial" w:hAnsi="Arial" w:cs="Arial"/>
                <w:b/>
              </w:rPr>
              <w:lastRenderedPageBreak/>
              <w:t>Scheda sintetica della consulenza</w:t>
            </w:r>
          </w:p>
        </w:tc>
      </w:tr>
      <w:tr w:rsidR="00D5794A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9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Destinatario della consulenza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94A" w:rsidRPr="00D03176" w:rsidRDefault="00D5794A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A51E4A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 w:rsidRPr="00D03176">
              <w:rPr>
                <w:rFonts w:ascii="Arial" w:hAnsi="Arial" w:cs="Arial"/>
                <w:lang w:eastAsia="ar-SA"/>
              </w:rPr>
              <w:t xml:space="preserve">Sede (Comune) 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A51E4A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 w:rsidRPr="00D03176">
              <w:rPr>
                <w:rFonts w:ascii="Arial" w:hAnsi="Arial" w:cs="Arial"/>
                <w:lang w:eastAsia="ar-SA"/>
              </w:rPr>
              <w:t>Indirizzo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A51E4A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 w:rsidRPr="00D03176">
              <w:rPr>
                <w:rFonts w:ascii="Arial" w:hAnsi="Arial" w:cs="Arial"/>
                <w:lang w:eastAsia="ar-SA"/>
              </w:rPr>
              <w:t>CAP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D03176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A51E4A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A51E4A" w:rsidRDefault="00A51E4A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Area della consulenza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4A" w:rsidRPr="00F934A2" w:rsidRDefault="00F934A2" w:rsidP="00221AD2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F934A2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A</w:t>
            </w:r>
          </w:p>
        </w:tc>
      </w:tr>
      <w:tr w:rsidR="00E42803" w:rsidRPr="00D03176" w:rsidTr="00481158">
        <w:trPr>
          <w:trHeight w:val="826"/>
        </w:trPr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803" w:rsidRDefault="00E42803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Ambito tematico della consulenza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803" w:rsidRPr="000F760B" w:rsidRDefault="003D20BB" w:rsidP="00FC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760B">
              <w:rPr>
                <w:rFonts w:ascii="Arial" w:hAnsi="Arial" w:cs="Arial"/>
                <w:b/>
                <w:color w:val="000000"/>
              </w:rPr>
              <w:t>f)</w:t>
            </w:r>
            <w:r w:rsidRPr="000F760B">
              <w:rPr>
                <w:rFonts w:ascii="Arial" w:hAnsi="Arial" w:cs="Arial"/>
                <w:color w:val="000000"/>
              </w:rPr>
              <w:t xml:space="preserve"> Norme di sicurezza sul lavoro e le norme di sicurezza connesse all’azienda agricola</w:t>
            </w:r>
          </w:p>
        </w:tc>
      </w:tr>
      <w:tr w:rsidR="00E42803" w:rsidRPr="00D03176" w:rsidTr="00835E88"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803" w:rsidRDefault="00E42803" w:rsidP="00A51E4A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N. ore di consulenza previste</w:t>
            </w:r>
          </w:p>
        </w:tc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803" w:rsidRPr="00F934A2" w:rsidRDefault="00C87A0B" w:rsidP="00C87A0B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ar-SA"/>
              </w:rPr>
              <w:t>17</w:t>
            </w:r>
          </w:p>
        </w:tc>
      </w:tr>
    </w:tbl>
    <w:p w:rsidR="000F4DCE" w:rsidRDefault="000F4DCE" w:rsidP="00D5794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9854"/>
      </w:tblGrid>
      <w:tr w:rsidR="00D5794A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D5794A" w:rsidRPr="00074278" w:rsidRDefault="00D5794A" w:rsidP="00AF397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  <w:r w:rsidRPr="00074278">
              <w:rPr>
                <w:rFonts w:ascii="Arial" w:hAnsi="Arial" w:cs="Arial"/>
              </w:rPr>
              <w:br w:type="page"/>
            </w:r>
            <w:r w:rsidRPr="00074278">
              <w:rPr>
                <w:rFonts w:ascii="Arial" w:hAnsi="Arial" w:cs="Arial"/>
                <w:b/>
              </w:rPr>
              <w:t>Desc</w:t>
            </w:r>
            <w:r w:rsidR="00E42803" w:rsidRPr="00074278">
              <w:rPr>
                <w:rFonts w:ascii="Arial" w:hAnsi="Arial" w:cs="Arial"/>
                <w:b/>
              </w:rPr>
              <w:t>rizione della situazione iniziale del destinatario e del fabbisogno specifico per il quale è richiesta la consulenza</w:t>
            </w:r>
          </w:p>
        </w:tc>
      </w:tr>
      <w:tr w:rsidR="00D5794A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17A" w:rsidRDefault="00481158" w:rsidP="00127D91">
            <w:p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L’azienda si </w:t>
            </w:r>
            <w:r w:rsidR="00217CF8">
              <w:rPr>
                <w:rFonts w:ascii="Arial" w:hAnsi="Arial" w:cs="Arial"/>
                <w:lang w:eastAsia="ar-SA"/>
              </w:rPr>
              <w:t xml:space="preserve">presenta un discreto grado di osservanza </w:t>
            </w:r>
            <w:r>
              <w:rPr>
                <w:rFonts w:ascii="Arial" w:hAnsi="Arial" w:cs="Arial"/>
                <w:lang w:eastAsia="ar-SA"/>
              </w:rPr>
              <w:t xml:space="preserve">degli </w:t>
            </w:r>
            <w:r w:rsidRPr="00481158">
              <w:rPr>
                <w:rFonts w:ascii="Arial" w:hAnsi="Arial" w:cs="Arial"/>
                <w:lang w:eastAsia="ar-SA"/>
              </w:rPr>
              <w:t>obblighi</w:t>
            </w:r>
            <w:r w:rsidR="0040317A">
              <w:rPr>
                <w:rFonts w:ascii="Arial" w:hAnsi="Arial" w:cs="Arial"/>
                <w:lang w:eastAsia="ar-SA"/>
              </w:rPr>
              <w:t xml:space="preserve"> derivanti dal </w:t>
            </w:r>
            <w:proofErr w:type="spellStart"/>
            <w:r w:rsidR="0040317A" w:rsidRPr="0040317A">
              <w:rPr>
                <w:rFonts w:ascii="Arial" w:hAnsi="Arial" w:cs="Arial"/>
                <w:lang w:eastAsia="ar-SA"/>
              </w:rPr>
              <w:t>D.Lgs.</w:t>
            </w:r>
            <w:proofErr w:type="spellEnd"/>
            <w:r w:rsidR="0040317A" w:rsidRPr="0040317A">
              <w:rPr>
                <w:rFonts w:ascii="Arial" w:hAnsi="Arial" w:cs="Arial"/>
                <w:lang w:eastAsia="ar-SA"/>
              </w:rPr>
              <w:t xml:space="preserve"> 81/08</w:t>
            </w:r>
            <w:r w:rsidR="00A71383">
              <w:rPr>
                <w:rFonts w:ascii="Arial" w:hAnsi="Arial" w:cs="Arial"/>
                <w:lang w:eastAsia="ar-SA"/>
              </w:rPr>
              <w:t xml:space="preserve"> </w:t>
            </w:r>
            <w:r w:rsidR="0040317A" w:rsidRPr="0040317A">
              <w:rPr>
                <w:rFonts w:ascii="Arial" w:hAnsi="Arial" w:cs="Arial"/>
                <w:lang w:eastAsia="ar-SA"/>
              </w:rPr>
              <w:t xml:space="preserve">e </w:t>
            </w:r>
            <w:proofErr w:type="spellStart"/>
            <w:r w:rsidR="0040317A" w:rsidRPr="0040317A">
              <w:rPr>
                <w:rFonts w:ascii="Arial" w:hAnsi="Arial" w:cs="Arial"/>
                <w:lang w:eastAsia="ar-SA"/>
              </w:rPr>
              <w:t>s.m.i</w:t>
            </w:r>
            <w:proofErr w:type="spellEnd"/>
            <w:r w:rsidR="0040317A" w:rsidRPr="0040317A">
              <w:rPr>
                <w:rFonts w:ascii="Arial" w:hAnsi="Arial" w:cs="Arial"/>
                <w:lang w:eastAsia="ar-SA"/>
              </w:rPr>
              <w:t>.</w:t>
            </w:r>
            <w:r w:rsidR="00A71383">
              <w:rPr>
                <w:rFonts w:ascii="Arial" w:hAnsi="Arial" w:cs="Arial"/>
                <w:lang w:eastAsia="ar-SA"/>
              </w:rPr>
              <w:t>. V</w:t>
            </w:r>
            <w:r w:rsidR="0040317A">
              <w:rPr>
                <w:rFonts w:ascii="Arial" w:hAnsi="Arial" w:cs="Arial"/>
                <w:lang w:eastAsia="ar-SA"/>
              </w:rPr>
              <w:t>ista la delicatezza del tema e la consapevolezza che la “sicurezza” nei luoghi del lavoro” non è mai abbastanza</w:t>
            </w:r>
            <w:r w:rsidR="00A71383">
              <w:rPr>
                <w:rFonts w:ascii="Arial" w:hAnsi="Arial" w:cs="Arial"/>
                <w:lang w:eastAsia="ar-SA"/>
              </w:rPr>
              <w:t xml:space="preserve">, anche alla luce dell’evoluzione del dettato normativo, l’azienda intende avvalersi </w:t>
            </w:r>
            <w:r w:rsidR="00D77483">
              <w:rPr>
                <w:rFonts w:ascii="Arial" w:hAnsi="Arial" w:cs="Arial"/>
                <w:lang w:eastAsia="ar-SA"/>
              </w:rPr>
              <w:t xml:space="preserve">di </w:t>
            </w:r>
            <w:r w:rsidR="00A71383">
              <w:rPr>
                <w:rFonts w:ascii="Arial" w:hAnsi="Arial" w:cs="Arial"/>
                <w:lang w:eastAsia="ar-SA"/>
              </w:rPr>
              <w:t>una qualificata consulenza al fine di innalzare gli standard di sicurezza presenti in azienda.</w:t>
            </w:r>
          </w:p>
          <w:p w:rsidR="00A71383" w:rsidRPr="00A71383" w:rsidRDefault="00A71383" w:rsidP="00127D91">
            <w:pPr>
              <w:pStyle w:val="NormaleWeb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1383">
              <w:rPr>
                <w:rFonts w:ascii="Arial" w:hAnsi="Arial" w:cs="Arial"/>
                <w:sz w:val="22"/>
                <w:szCs w:val="22"/>
              </w:rPr>
              <w:t>Il Testo Unico sulla Sicurezza (T.U.) prevede, per il settore agricolo, una serie di prescrizioni complessive per la tutela dei lavoratori agricoli, disposizioni per i datori di lavoro, misure preventive tecniche, procedurali ed organizzative, utilizzo dei dispositivi di protezione, per citarne alcuni:</w:t>
            </w:r>
          </w:p>
          <w:p w:rsidR="00A71383" w:rsidRPr="00A71383" w:rsidRDefault="00A71383" w:rsidP="00127D9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>Valutazione di tutti i rischi per la salute e sicurezza</w:t>
            </w:r>
          </w:p>
          <w:p w:rsidR="00A71383" w:rsidRPr="00A71383" w:rsidRDefault="00A71383" w:rsidP="00127D9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>Adozione nel tempo di misure aggiornate per la riduzione dei rischi</w:t>
            </w:r>
          </w:p>
          <w:p w:rsidR="00A71383" w:rsidRPr="00A71383" w:rsidRDefault="00A71383" w:rsidP="00127D9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>Limitazione dell’esposizione dei lavoratori a rischi (anche da agenti fisici, chimici, biologici)</w:t>
            </w:r>
          </w:p>
          <w:p w:rsidR="00A71383" w:rsidRPr="00A71383" w:rsidRDefault="00A71383" w:rsidP="00127D9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>Controllo sanitario periodico obbligatorio dei lavoratori</w:t>
            </w:r>
          </w:p>
          <w:p w:rsidR="00A71383" w:rsidRPr="00A71383" w:rsidRDefault="00A71383" w:rsidP="00127D9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>Predisposizione di tutte le misure di emergenza necessarie</w:t>
            </w:r>
          </w:p>
          <w:p w:rsidR="00A71383" w:rsidRPr="00A71383" w:rsidRDefault="00A71383" w:rsidP="00127D9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>Manutenzione e revisione di macchinari e impianti</w:t>
            </w:r>
          </w:p>
          <w:p w:rsidR="00A71383" w:rsidRPr="00A71383" w:rsidRDefault="00A71383" w:rsidP="00127D91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>I componenti dell’impresa familiare, i lavoratori autonomi, i coltivatori diretti, i soci delle società semplici operanti nel settore agricolo, gli artigiani e i piccoli commercianti devono soddisfare i seguenti obblighi:</w:t>
            </w:r>
          </w:p>
          <w:p w:rsidR="00A71383" w:rsidRPr="00A71383" w:rsidRDefault="00A71383" w:rsidP="00127D91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>utilizzare attrezzature di lavoro a norma</w:t>
            </w:r>
          </w:p>
          <w:p w:rsidR="00A71383" w:rsidRPr="00A71383" w:rsidRDefault="00A71383" w:rsidP="00127D91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46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 xml:space="preserve">munirsi di dispositivi di protezione individuale (in base alle attività: guanti, scarpe, maschere, tuta, </w:t>
            </w:r>
            <w:proofErr w:type="spellStart"/>
            <w:r w:rsidRPr="00A71383">
              <w:rPr>
                <w:rFonts w:ascii="Arial" w:eastAsia="Times New Roman" w:hAnsi="Arial" w:cs="Arial"/>
                <w:lang w:eastAsia="it-IT"/>
              </w:rPr>
              <w:t>etc…</w:t>
            </w:r>
            <w:proofErr w:type="spellEnd"/>
            <w:r w:rsidRPr="00A71383">
              <w:rPr>
                <w:rFonts w:ascii="Arial" w:eastAsia="Times New Roman" w:hAnsi="Arial" w:cs="Arial"/>
                <w:lang w:eastAsia="it-IT"/>
              </w:rPr>
              <w:t>).</w:t>
            </w:r>
          </w:p>
          <w:p w:rsidR="00A71383" w:rsidRPr="00A71383" w:rsidRDefault="00A71383" w:rsidP="00127D91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 xml:space="preserve">In azienda agricola tutti i lavoratori subordinati, indipendentemente dall’inquadramento contrattuale (fissi, stagionali, occasionali, familiari, minori, apprendisti) devono rispettare le norme sulla </w:t>
            </w:r>
            <w:r w:rsidRPr="00A71383">
              <w:rPr>
                <w:rFonts w:ascii="Arial" w:eastAsia="Times New Roman" w:hAnsi="Arial" w:cs="Arial"/>
                <w:lang w:eastAsia="it-IT"/>
              </w:rPr>
              <w:lastRenderedPageBreak/>
              <w:t>sicurezza sul lavoro.</w:t>
            </w:r>
          </w:p>
          <w:p w:rsidR="00A71383" w:rsidRPr="00A71383" w:rsidRDefault="00A71383" w:rsidP="00127D91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>Gli organismi di controllo in merito alla sicurezza sul lavoro sono: Aziende Sanitarie Locali (ASL), Direzioni Provinciali del Lavoro, Istituto Nazionale per l’Assicurazione contro gli infortuni sul Lavoro (INAIL</w:t>
            </w:r>
            <w:r w:rsidR="002D55EA">
              <w:rPr>
                <w:rFonts w:ascii="Arial" w:eastAsia="Times New Roman" w:hAnsi="Arial" w:cs="Arial"/>
                <w:lang w:eastAsia="it-IT"/>
              </w:rPr>
              <w:t>), Vigili del Fuoco (</w:t>
            </w:r>
            <w:proofErr w:type="spellStart"/>
            <w:r w:rsidR="002D55EA">
              <w:rPr>
                <w:rFonts w:ascii="Arial" w:eastAsia="Times New Roman" w:hAnsi="Arial" w:cs="Arial"/>
                <w:lang w:eastAsia="it-IT"/>
              </w:rPr>
              <w:t>VV.FF.</w:t>
            </w:r>
            <w:proofErr w:type="spellEnd"/>
            <w:r w:rsidR="002D55EA">
              <w:rPr>
                <w:rFonts w:ascii="Arial" w:eastAsia="Times New Roman" w:hAnsi="Arial" w:cs="Arial"/>
                <w:lang w:eastAsia="it-IT"/>
              </w:rPr>
              <w:t xml:space="preserve">) e </w:t>
            </w:r>
            <w:r w:rsidRPr="00A71383">
              <w:rPr>
                <w:rFonts w:ascii="Arial" w:eastAsia="Times New Roman" w:hAnsi="Arial" w:cs="Arial"/>
                <w:lang w:eastAsia="it-IT"/>
              </w:rPr>
              <w:t>Forze dell’ordine.</w:t>
            </w:r>
          </w:p>
          <w:p w:rsidR="00A71383" w:rsidRPr="00A71383" w:rsidRDefault="00A71383" w:rsidP="00127D91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>La diversità e la complessità delle aziende agricole nel territorio, combinata con l’alto tasso di infortuni e decessi dovuti ai rischi del settore, fa’ sì che molte aziende agricole abbiano la necessità di confrontarsi con esperti in sicurezza per risolvere le criticità dell’azienda.</w:t>
            </w:r>
          </w:p>
          <w:p w:rsidR="00A71383" w:rsidRPr="00A71383" w:rsidRDefault="00A71383" w:rsidP="00127D9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b/>
                <w:bCs/>
                <w:lang w:eastAsia="it-IT"/>
              </w:rPr>
              <w:t>A chi si rivolge il servizio di consulenza</w:t>
            </w:r>
          </w:p>
          <w:p w:rsidR="00885996" w:rsidRPr="00AC6B4B" w:rsidRDefault="00A71383" w:rsidP="00AC6B4B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A71383">
              <w:rPr>
                <w:rFonts w:ascii="Arial" w:eastAsia="Times New Roman" w:hAnsi="Arial" w:cs="Arial"/>
                <w:lang w:eastAsia="it-IT"/>
              </w:rPr>
              <w:t>Il servizio si rivolge alle aziende agricole che necessitano di un confronto puntuale con consulenti esperti in sicurezza sul lavoro al fine di migliorare le condizioni della propria azienda e diminuire i rischi per i dipendenti per il titolare stesso.</w:t>
            </w:r>
          </w:p>
        </w:tc>
      </w:tr>
    </w:tbl>
    <w:p w:rsidR="00D5794A" w:rsidRDefault="00D5794A" w:rsidP="00D5794A">
      <w:pPr>
        <w:spacing w:after="0" w:line="240" w:lineRule="auto"/>
        <w:rPr>
          <w:rFonts w:ascii="Arial" w:hAnsi="Arial" w:cs="Arial"/>
        </w:rPr>
      </w:pPr>
    </w:p>
    <w:tbl>
      <w:tblPr>
        <w:tblW w:w="5071" w:type="pct"/>
        <w:tblInd w:w="21" w:type="dxa"/>
        <w:tblLook w:val="04A0"/>
      </w:tblPr>
      <w:tblGrid>
        <w:gridCol w:w="852"/>
        <w:gridCol w:w="5519"/>
        <w:gridCol w:w="1017"/>
        <w:gridCol w:w="2606"/>
      </w:tblGrid>
      <w:tr w:rsidR="00E42803" w:rsidRPr="00D03176" w:rsidTr="00EE36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E42803" w:rsidRPr="00074278" w:rsidRDefault="00E42803" w:rsidP="00AF397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b/>
                <w:lang w:eastAsia="ar-SA"/>
              </w:rPr>
            </w:pPr>
            <w:r w:rsidRPr="00074278">
              <w:rPr>
                <w:rFonts w:ascii="Arial" w:hAnsi="Arial" w:cs="Arial"/>
              </w:rPr>
              <w:br w:type="page"/>
            </w:r>
            <w:r w:rsidRPr="00074278">
              <w:rPr>
                <w:rFonts w:ascii="Arial" w:hAnsi="Arial" w:cs="Arial"/>
                <w:b/>
              </w:rPr>
              <w:t xml:space="preserve">Obiettivi </w:t>
            </w:r>
            <w:r w:rsidR="002070A9" w:rsidRPr="00074278">
              <w:rPr>
                <w:rFonts w:ascii="Arial" w:hAnsi="Arial" w:cs="Arial"/>
                <w:b/>
              </w:rPr>
              <w:t>dei servizi di</w:t>
            </w:r>
            <w:r w:rsidRPr="00074278">
              <w:rPr>
                <w:rFonts w:ascii="Arial" w:hAnsi="Arial" w:cs="Arial"/>
                <w:b/>
              </w:rPr>
              <w:t xml:space="preserve"> consulenza</w:t>
            </w:r>
            <w:r w:rsidR="002070A9" w:rsidRPr="00074278">
              <w:rPr>
                <w:rFonts w:ascii="Arial" w:hAnsi="Arial" w:cs="Arial"/>
                <w:b/>
              </w:rPr>
              <w:t xml:space="preserve"> offerti</w:t>
            </w:r>
          </w:p>
        </w:tc>
      </w:tr>
      <w:tr w:rsidR="00E42803" w:rsidRPr="00D03176" w:rsidTr="00EE36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D91" w:rsidRPr="00A71383" w:rsidRDefault="00127D91" w:rsidP="00127D91">
            <w:pPr>
              <w:pStyle w:val="Paragrafoelenco"/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A71383">
              <w:rPr>
                <w:rFonts w:ascii="Arial" w:hAnsi="Arial" w:cs="Arial"/>
                <w:lang w:eastAsia="ar-SA"/>
              </w:rPr>
              <w:t>Valutare i rischi potenziali delle attività aziendali</w:t>
            </w:r>
          </w:p>
          <w:p w:rsidR="00127D91" w:rsidRPr="00A71383" w:rsidRDefault="00127D91" w:rsidP="00127D91">
            <w:pPr>
              <w:pStyle w:val="Paragrafoelenco"/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A71383">
              <w:rPr>
                <w:rFonts w:ascii="Arial" w:hAnsi="Arial" w:cs="Arial"/>
                <w:lang w:eastAsia="ar-SA"/>
              </w:rPr>
              <w:t>Monitorare i livelli di osservanza delle norme di sicurezza</w:t>
            </w:r>
          </w:p>
          <w:p w:rsidR="00127D91" w:rsidRPr="00A71383" w:rsidRDefault="00127D91" w:rsidP="00127D91">
            <w:pPr>
              <w:pStyle w:val="Paragrafoelenco"/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A71383">
              <w:rPr>
                <w:rFonts w:ascii="Arial" w:hAnsi="Arial" w:cs="Arial"/>
                <w:lang w:eastAsia="ar-SA"/>
              </w:rPr>
              <w:t>Migliorare il rispetto dell’applicazione del T.U.</w:t>
            </w:r>
          </w:p>
          <w:p w:rsidR="00FD65F5" w:rsidRPr="00127D91" w:rsidRDefault="00127D91" w:rsidP="00127D91">
            <w:pPr>
              <w:pStyle w:val="Paragrafoelenco"/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A71383">
              <w:rPr>
                <w:rFonts w:ascii="Arial" w:hAnsi="Arial" w:cs="Arial"/>
                <w:lang w:eastAsia="ar-SA"/>
              </w:rPr>
              <w:t>Abbassare il livello di pericolosità del settore agricoltura</w:t>
            </w:r>
          </w:p>
        </w:tc>
      </w:tr>
      <w:tr w:rsidR="00901CE8" w:rsidRPr="00D03176" w:rsidTr="00E9124C">
        <w:trPr>
          <w:trHeight w:val="370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74278" w:rsidRPr="00074278" w:rsidRDefault="00901CE8" w:rsidP="00AF397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 w:rsidRPr="00074278">
              <w:rPr>
                <w:rFonts w:ascii="Arial" w:hAnsi="Arial" w:cs="Arial"/>
              </w:rPr>
              <w:br w:type="page"/>
            </w:r>
            <w:bookmarkStart w:id="0" w:name="_GoBack"/>
            <w:bookmarkEnd w:id="0"/>
            <w:r w:rsidRPr="00074278">
              <w:rPr>
                <w:rFonts w:ascii="Arial" w:hAnsi="Arial" w:cs="Arial"/>
                <w:b/>
              </w:rPr>
              <w:t xml:space="preserve">Descrizione </w:t>
            </w:r>
            <w:r w:rsidR="00074278">
              <w:rPr>
                <w:rFonts w:ascii="Arial" w:hAnsi="Arial" w:cs="Arial"/>
                <w:b/>
              </w:rPr>
              <w:t xml:space="preserve">delle attività di consulenza </w:t>
            </w:r>
            <w:r w:rsidR="00351252">
              <w:rPr>
                <w:rFonts w:ascii="Arial" w:hAnsi="Arial" w:cs="Arial"/>
                <w:b/>
              </w:rPr>
              <w:t>programmate</w:t>
            </w:r>
            <w:r w:rsidR="00C252FB">
              <w:rPr>
                <w:rFonts w:ascii="Arial" w:hAnsi="Arial" w:cs="Arial"/>
                <w:b/>
              </w:rPr>
              <w:t xml:space="preserve"> </w:t>
            </w:r>
            <w:r w:rsidRPr="00074278">
              <w:rPr>
                <w:rFonts w:ascii="Arial" w:hAnsi="Arial" w:cs="Arial"/>
                <w:b/>
              </w:rPr>
              <w:t>(quadro di sintesi)</w:t>
            </w:r>
          </w:p>
          <w:p w:rsidR="00885996" w:rsidRDefault="00074278" w:rsidP="00885996">
            <w:pPr>
              <w:suppressAutoHyphens/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N.B. per “attività di consulenza” si intendono le singole prestazioni </w:t>
            </w:r>
            <w:proofErr w:type="spellStart"/>
            <w:r>
              <w:rPr>
                <w:rFonts w:ascii="Arial" w:hAnsi="Arial" w:cs="Arial"/>
              </w:rPr>
              <w:t>consulenziali</w:t>
            </w:r>
            <w:proofErr w:type="spellEnd"/>
            <w:r w:rsidR="00835E88">
              <w:rPr>
                <w:rFonts w:ascii="Arial" w:hAnsi="Arial" w:cs="Arial"/>
              </w:rPr>
              <w:t xml:space="preserve"> di natura omogenea</w:t>
            </w:r>
            <w:r>
              <w:rPr>
                <w:rFonts w:ascii="Arial" w:hAnsi="Arial" w:cs="Arial"/>
              </w:rPr>
              <w:t>, quali visite</w:t>
            </w:r>
            <w:r w:rsidR="00742607">
              <w:rPr>
                <w:rFonts w:ascii="Arial" w:hAnsi="Arial" w:cs="Arial"/>
              </w:rPr>
              <w:t xml:space="preserve"> in azienda, analisi documentali</w:t>
            </w:r>
            <w:r>
              <w:rPr>
                <w:rFonts w:ascii="Arial" w:hAnsi="Arial" w:cs="Arial"/>
              </w:rPr>
              <w:t xml:space="preserve">, elaborazione di pareri, ecc. … </w:t>
            </w:r>
            <w:r w:rsidR="00835E88">
              <w:rPr>
                <w:rFonts w:ascii="Arial" w:hAnsi="Arial" w:cs="Arial"/>
              </w:rPr>
              <w:t xml:space="preserve">nelle quali si articola il servizio di consulenza. </w:t>
            </w:r>
          </w:p>
          <w:p w:rsidR="00885996" w:rsidRDefault="00885996" w:rsidP="00885996">
            <w:pPr>
              <w:suppressAutoHyphens/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come previsto al par. 12 delle disposizioni attuative, </w:t>
            </w:r>
            <w:r w:rsidRPr="00885996">
              <w:rPr>
                <w:rFonts w:ascii="Arial" w:hAnsi="Arial" w:cs="Arial"/>
                <w:u w:val="single"/>
              </w:rPr>
              <w:t>il massimale di 1.500,00 € di contributo pubblico si applica all’insieme di “attività di consulenza” erogate a favore dello stesso destinatario in uno o più ambiti tematici</w:t>
            </w:r>
            <w:r w:rsidRPr="002772B2">
              <w:rPr>
                <w:rFonts w:ascii="Arial" w:hAnsi="Arial" w:cs="Arial"/>
              </w:rPr>
              <w:t xml:space="preserve"> – a)</w:t>
            </w:r>
            <w:r>
              <w:rPr>
                <w:rFonts w:ascii="Arial" w:hAnsi="Arial" w:cs="Arial"/>
              </w:rPr>
              <w:t>, b), c), d), ecc. – previsti ne</w:t>
            </w:r>
            <w:r w:rsidRPr="002772B2">
              <w:rPr>
                <w:rFonts w:ascii="Arial" w:hAnsi="Arial" w:cs="Arial"/>
              </w:rPr>
              <w:t>l paragrafo</w:t>
            </w:r>
            <w:r>
              <w:rPr>
                <w:rFonts w:ascii="Arial" w:hAnsi="Arial" w:cs="Arial"/>
              </w:rPr>
              <w:t xml:space="preserve"> delle disposizioni attuative</w:t>
            </w:r>
            <w:r w:rsidRPr="002772B2">
              <w:rPr>
                <w:rFonts w:ascii="Arial" w:hAnsi="Arial" w:cs="Arial"/>
              </w:rPr>
              <w:t xml:space="preserve"> “Are</w:t>
            </w:r>
            <w:r w:rsidR="00393365">
              <w:rPr>
                <w:rFonts w:ascii="Arial" w:hAnsi="Arial" w:cs="Arial"/>
              </w:rPr>
              <w:t>a</w:t>
            </w:r>
            <w:r w:rsidRPr="002772B2">
              <w:rPr>
                <w:rFonts w:ascii="Arial" w:hAnsi="Arial" w:cs="Arial"/>
              </w:rPr>
              <w:t xml:space="preserve"> di consulenza e destinatari”.</w:t>
            </w:r>
          </w:p>
          <w:p w:rsidR="00074278" w:rsidRPr="00074278" w:rsidRDefault="00835E88" w:rsidP="00885996">
            <w:pPr>
              <w:suppressAutoHyphens/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attività devono essere programmate sulla base del n. di ore di lavoro necessario a completarle.</w:t>
            </w:r>
            <w:r w:rsidR="003E467A">
              <w:rPr>
                <w:rFonts w:ascii="Arial" w:hAnsi="Arial" w:cs="Arial"/>
              </w:rPr>
              <w:t xml:space="preserve"> Aggiungere ulteriori righe se necessario.</w:t>
            </w:r>
          </w:p>
        </w:tc>
      </w:tr>
      <w:tr w:rsidR="00742607" w:rsidRPr="002070A9" w:rsidTr="00E9124C">
        <w:trPr>
          <w:trHeight w:val="465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42607" w:rsidRPr="00901CE8" w:rsidRDefault="00742607" w:rsidP="00901CE8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n. </w:t>
            </w:r>
            <w:proofErr w:type="spellStart"/>
            <w:r>
              <w:rPr>
                <w:rFonts w:ascii="Arial" w:hAnsi="Arial" w:cs="Arial"/>
                <w:b/>
              </w:rPr>
              <w:t>progr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42607" w:rsidRPr="00901CE8" w:rsidRDefault="00742607" w:rsidP="00901CE8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attività di consulenza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42607" w:rsidRPr="00901CE8" w:rsidRDefault="00742607" w:rsidP="00742607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 w:rsidRPr="00901CE8">
              <w:rPr>
                <w:rFonts w:ascii="Arial" w:hAnsi="Arial" w:cs="Arial"/>
                <w:b/>
              </w:rPr>
              <w:t xml:space="preserve">n. ore 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42607" w:rsidRPr="00901CE8" w:rsidRDefault="00742607" w:rsidP="00901CE8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901CE8">
              <w:rPr>
                <w:rFonts w:ascii="Arial" w:hAnsi="Arial" w:cs="Arial"/>
                <w:b/>
              </w:rPr>
              <w:t>onsulente</w:t>
            </w:r>
          </w:p>
        </w:tc>
      </w:tr>
      <w:tr w:rsidR="00742607" w:rsidRPr="00D03176" w:rsidTr="00E9124C">
        <w:trPr>
          <w:trHeight w:val="452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607" w:rsidRPr="00D03176" w:rsidRDefault="00B15B90" w:rsidP="00B15B90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C9697A" w:rsidRDefault="006315F8" w:rsidP="00C9697A">
            <w:pPr>
              <w:tabs>
                <w:tab w:val="left" w:pos="261"/>
              </w:tabs>
              <w:autoSpaceDE w:val="0"/>
              <w:snapToGrid w:val="0"/>
              <w:spacing w:before="120" w:after="120" w:line="280" w:lineRule="exact"/>
              <w:ind w:left="142"/>
              <w:rPr>
                <w:rFonts w:ascii="Arial" w:hAnsi="Arial" w:cs="Arial"/>
                <w:lang w:eastAsia="ar-SA"/>
              </w:rPr>
            </w:pPr>
            <w:r w:rsidRPr="006315F8">
              <w:rPr>
                <w:rFonts w:ascii="Arial" w:hAnsi="Arial" w:cs="Arial"/>
                <w:lang w:eastAsia="ar-SA"/>
              </w:rPr>
              <w:t>f) Norme di sicurezza sul lavoro e le norme di sicurezza connesse all’azienda agricola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63E31" w:rsidP="00C87A0B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  <w:r w:rsidR="00C87A0B"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A2" w:rsidRPr="00F934A2" w:rsidRDefault="00FC73BC" w:rsidP="00FA72BA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C73BC">
              <w:rPr>
                <w:rFonts w:ascii="Arial" w:hAnsi="Arial" w:cs="Arial"/>
                <w:sz w:val="20"/>
                <w:szCs w:val="20"/>
                <w:lang w:eastAsia="ar-SA"/>
              </w:rPr>
              <w:t>Dott. Vincenzo Cosimo</w:t>
            </w:r>
          </w:p>
        </w:tc>
      </w:tr>
      <w:tr w:rsidR="00742607" w:rsidRPr="00D03176" w:rsidTr="00E9124C">
        <w:trPr>
          <w:trHeight w:val="452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607" w:rsidRPr="00D03176" w:rsidRDefault="00B15B90" w:rsidP="00B15B90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742607" w:rsidRPr="00D03176" w:rsidTr="00E9124C">
        <w:trPr>
          <w:trHeight w:val="452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607" w:rsidRPr="00D03176" w:rsidRDefault="00B15B90" w:rsidP="00B15B90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07" w:rsidRPr="00D03176" w:rsidRDefault="00742607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B15B90" w:rsidRPr="00D03176" w:rsidTr="00E9124C">
        <w:trPr>
          <w:trHeight w:val="452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90" w:rsidRDefault="00B15B90" w:rsidP="00B15B90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B15B90" w:rsidRPr="00D03176" w:rsidTr="00E9124C">
        <w:trPr>
          <w:trHeight w:val="452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B90" w:rsidRDefault="00B15B90" w:rsidP="00B15B90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5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90" w:rsidRPr="00D03176" w:rsidRDefault="00B15B90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  <w:tr w:rsidR="00F934A2" w:rsidRPr="00D03176" w:rsidTr="00E9124C">
        <w:trPr>
          <w:trHeight w:val="452"/>
        </w:trPr>
        <w:tc>
          <w:tcPr>
            <w:tcW w:w="3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A2" w:rsidRPr="00B15B90" w:rsidRDefault="00F934A2" w:rsidP="00B15B90">
            <w:pPr>
              <w:autoSpaceDE w:val="0"/>
              <w:snapToGrid w:val="0"/>
              <w:spacing w:before="120" w:after="120" w:line="280" w:lineRule="exact"/>
              <w:jc w:val="right"/>
              <w:rPr>
                <w:rFonts w:ascii="Arial" w:hAnsi="Arial" w:cs="Arial"/>
                <w:b/>
                <w:lang w:eastAsia="ar-SA"/>
              </w:rPr>
            </w:pPr>
            <w:r w:rsidRPr="00B15B90">
              <w:rPr>
                <w:rFonts w:ascii="Arial" w:hAnsi="Arial" w:cs="Arial"/>
                <w:b/>
                <w:lang w:eastAsia="ar-SA"/>
              </w:rPr>
              <w:t>Totale ore</w:t>
            </w:r>
            <w:r>
              <w:rPr>
                <w:rFonts w:ascii="Arial" w:hAnsi="Arial" w:cs="Arial"/>
                <w:b/>
                <w:lang w:eastAsia="ar-SA"/>
              </w:rPr>
              <w:t>: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A2" w:rsidRPr="00F934A2" w:rsidRDefault="00F934A2" w:rsidP="00C87A0B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  <w:lang w:eastAsia="ar-SA"/>
              </w:rPr>
            </w:pPr>
            <w:r w:rsidRPr="00F934A2">
              <w:rPr>
                <w:rFonts w:ascii="Arial" w:hAnsi="Arial" w:cs="Arial"/>
                <w:b/>
                <w:lang w:eastAsia="ar-SA"/>
              </w:rPr>
              <w:t>1</w:t>
            </w:r>
            <w:r w:rsidR="00C87A0B">
              <w:rPr>
                <w:rFonts w:ascii="Arial" w:hAnsi="Arial" w:cs="Arial"/>
                <w:b/>
                <w:lang w:eastAsia="ar-SA"/>
              </w:rPr>
              <w:t>7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A2" w:rsidRPr="00F934A2" w:rsidRDefault="00F934A2" w:rsidP="00FC73BC">
            <w:pPr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934A2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Dott. </w:t>
            </w:r>
            <w:r w:rsidR="00FC73BC">
              <w:rPr>
                <w:rFonts w:ascii="Arial" w:hAnsi="Arial" w:cs="Arial"/>
                <w:sz w:val="20"/>
                <w:szCs w:val="20"/>
                <w:lang w:eastAsia="ar-SA"/>
              </w:rPr>
              <w:t>Vincenzo Cosimo</w:t>
            </w:r>
          </w:p>
        </w:tc>
      </w:tr>
    </w:tbl>
    <w:p w:rsidR="00E42803" w:rsidRDefault="00E42803" w:rsidP="00D5794A">
      <w:pPr>
        <w:spacing w:after="0" w:line="240" w:lineRule="auto"/>
        <w:rPr>
          <w:rFonts w:ascii="Arial" w:hAnsi="Arial" w:cs="Arial"/>
        </w:rPr>
      </w:pPr>
    </w:p>
    <w:p w:rsidR="00074278" w:rsidRPr="00074278" w:rsidRDefault="00074278" w:rsidP="00AF397F">
      <w:pPr>
        <w:pStyle w:val="Paragrafoelenco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74278">
        <w:rPr>
          <w:rFonts w:ascii="Arial" w:hAnsi="Arial" w:cs="Arial"/>
          <w:b/>
        </w:rPr>
        <w:t xml:space="preserve">Dettaglio delle attività di consulenza. </w:t>
      </w:r>
    </w:p>
    <w:p w:rsidR="00074278" w:rsidRDefault="00074278" w:rsidP="00074278">
      <w:pPr>
        <w:pStyle w:val="Paragrafoelenco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74278" w:rsidRPr="00F934A2" w:rsidRDefault="00074278" w:rsidP="00F934A2">
      <w:pPr>
        <w:pStyle w:val="Paragrafoelenco"/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074278">
        <w:rPr>
          <w:rFonts w:ascii="Arial" w:hAnsi="Arial" w:cs="Arial"/>
          <w:b/>
          <w:sz w:val="20"/>
          <w:szCs w:val="18"/>
        </w:rPr>
        <w:t>Il richiedente deve compilare una scheda</w:t>
      </w:r>
      <w:r w:rsidR="000A5125">
        <w:rPr>
          <w:rFonts w:ascii="Arial" w:hAnsi="Arial" w:cs="Arial"/>
          <w:b/>
          <w:sz w:val="20"/>
          <w:szCs w:val="18"/>
        </w:rPr>
        <w:t xml:space="preserve"> descrittiva</w:t>
      </w:r>
      <w:r w:rsidRPr="00074278">
        <w:rPr>
          <w:rFonts w:ascii="Arial" w:hAnsi="Arial" w:cs="Arial"/>
          <w:b/>
          <w:sz w:val="20"/>
          <w:szCs w:val="18"/>
        </w:rPr>
        <w:t xml:space="preserve"> per ogni attività di consulenza indicata nella precedente tabella (aggiungere ulteriori riquadri se necessario). </w:t>
      </w:r>
    </w:p>
    <w:p w:rsidR="00074278" w:rsidRPr="00074278" w:rsidRDefault="00074278" w:rsidP="00074278">
      <w:pPr>
        <w:pStyle w:val="Paragrafoelenco"/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074278">
        <w:rPr>
          <w:rFonts w:ascii="Arial" w:hAnsi="Arial" w:cs="Arial"/>
          <w:b/>
          <w:sz w:val="20"/>
          <w:szCs w:val="18"/>
        </w:rPr>
        <w:t>La descrizione fornita sarà valutata in sede di istruttoria di ammissibilità della domanda di sostegno e deve riguardare:</w:t>
      </w:r>
    </w:p>
    <w:p w:rsidR="00074278" w:rsidRPr="00776890" w:rsidRDefault="00074278" w:rsidP="00AF397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776890">
        <w:rPr>
          <w:rFonts w:ascii="Arial" w:hAnsi="Arial" w:cs="Arial"/>
          <w:b/>
          <w:sz w:val="20"/>
          <w:szCs w:val="18"/>
        </w:rPr>
        <w:t xml:space="preserve">Il </w:t>
      </w:r>
      <w:r w:rsidR="00D64681" w:rsidRPr="00776890">
        <w:rPr>
          <w:rFonts w:ascii="Arial" w:hAnsi="Arial" w:cs="Arial"/>
          <w:b/>
          <w:sz w:val="20"/>
          <w:szCs w:val="18"/>
        </w:rPr>
        <w:t xml:space="preserve">contenuto </w:t>
      </w:r>
      <w:r w:rsidRPr="00776890">
        <w:rPr>
          <w:rFonts w:ascii="Arial" w:hAnsi="Arial" w:cs="Arial"/>
          <w:b/>
          <w:sz w:val="20"/>
          <w:szCs w:val="18"/>
        </w:rPr>
        <w:t xml:space="preserve">specifico </w:t>
      </w:r>
      <w:r w:rsidR="00D64681" w:rsidRPr="00776890">
        <w:rPr>
          <w:rFonts w:ascii="Arial" w:hAnsi="Arial" w:cs="Arial"/>
          <w:b/>
          <w:sz w:val="20"/>
          <w:szCs w:val="18"/>
        </w:rPr>
        <w:t>dell’</w:t>
      </w:r>
      <w:r w:rsidRPr="00776890">
        <w:rPr>
          <w:rFonts w:ascii="Arial" w:hAnsi="Arial" w:cs="Arial"/>
          <w:b/>
          <w:sz w:val="20"/>
          <w:szCs w:val="18"/>
        </w:rPr>
        <w:t>attività di consulenza;</w:t>
      </w:r>
      <w:r w:rsidR="00D64681" w:rsidRPr="00776890">
        <w:rPr>
          <w:rFonts w:ascii="Arial" w:hAnsi="Arial" w:cs="Arial"/>
          <w:b/>
          <w:sz w:val="20"/>
          <w:szCs w:val="18"/>
        </w:rPr>
        <w:t xml:space="preserve"> </w:t>
      </w:r>
    </w:p>
    <w:p w:rsidR="00074278" w:rsidRPr="00090FD0" w:rsidRDefault="00074278" w:rsidP="00AF397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090FD0">
        <w:rPr>
          <w:rFonts w:ascii="Arial" w:hAnsi="Arial" w:cs="Arial"/>
          <w:b/>
          <w:sz w:val="20"/>
          <w:szCs w:val="18"/>
        </w:rPr>
        <w:t xml:space="preserve">la giustificazione della </w:t>
      </w:r>
      <w:r w:rsidR="00D64681" w:rsidRPr="00090FD0">
        <w:rPr>
          <w:rFonts w:ascii="Arial" w:hAnsi="Arial" w:cs="Arial"/>
          <w:b/>
          <w:sz w:val="20"/>
          <w:szCs w:val="18"/>
        </w:rPr>
        <w:t>congruità del numero di ore proposto per l’</w:t>
      </w:r>
      <w:r w:rsidRPr="00090FD0">
        <w:rPr>
          <w:rFonts w:ascii="Arial" w:hAnsi="Arial" w:cs="Arial"/>
          <w:b/>
          <w:sz w:val="20"/>
          <w:szCs w:val="18"/>
        </w:rPr>
        <w:t>attività di consulenza;</w:t>
      </w:r>
    </w:p>
    <w:p w:rsidR="00074278" w:rsidRPr="00776890" w:rsidRDefault="00074278" w:rsidP="00AF397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776890">
        <w:rPr>
          <w:rFonts w:ascii="Arial" w:hAnsi="Arial" w:cs="Arial"/>
          <w:b/>
          <w:sz w:val="20"/>
          <w:szCs w:val="18"/>
        </w:rPr>
        <w:t xml:space="preserve">le </w:t>
      </w:r>
      <w:r w:rsidR="00D64681" w:rsidRPr="00776890">
        <w:rPr>
          <w:rFonts w:ascii="Arial" w:hAnsi="Arial" w:cs="Arial"/>
          <w:b/>
          <w:sz w:val="20"/>
          <w:szCs w:val="18"/>
        </w:rPr>
        <w:t>professionalità coinvolte nell’</w:t>
      </w:r>
      <w:r w:rsidRPr="00776890">
        <w:rPr>
          <w:rFonts w:ascii="Arial" w:hAnsi="Arial" w:cs="Arial"/>
          <w:b/>
          <w:sz w:val="20"/>
          <w:szCs w:val="18"/>
        </w:rPr>
        <w:t>attività;</w:t>
      </w:r>
    </w:p>
    <w:p w:rsidR="00F934A2" w:rsidRPr="00F934A2" w:rsidRDefault="00074278" w:rsidP="00AF397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074278">
        <w:rPr>
          <w:rFonts w:ascii="Arial" w:hAnsi="Arial" w:cs="Arial"/>
          <w:b/>
          <w:sz w:val="20"/>
          <w:szCs w:val="18"/>
        </w:rPr>
        <w:t xml:space="preserve">gli </w:t>
      </w:r>
      <w:r w:rsidR="00D64681" w:rsidRPr="00074278">
        <w:rPr>
          <w:rFonts w:ascii="Arial" w:hAnsi="Arial" w:cs="Arial"/>
          <w:b/>
          <w:sz w:val="20"/>
          <w:szCs w:val="18"/>
        </w:rPr>
        <w:t>strumenti utilizzati nell’</w:t>
      </w:r>
      <w:r w:rsidRPr="00074278">
        <w:rPr>
          <w:rFonts w:ascii="Arial" w:hAnsi="Arial" w:cs="Arial"/>
          <w:b/>
          <w:sz w:val="20"/>
          <w:szCs w:val="18"/>
        </w:rPr>
        <w:t>attività di consulenza le</w:t>
      </w:r>
      <w:r w:rsidR="00D64681" w:rsidRPr="00074278">
        <w:rPr>
          <w:rFonts w:ascii="Arial" w:hAnsi="Arial" w:cs="Arial"/>
          <w:b/>
          <w:sz w:val="20"/>
          <w:szCs w:val="18"/>
        </w:rPr>
        <w:t xml:space="preserve"> modalità </w:t>
      </w:r>
      <w:r w:rsidRPr="00074278">
        <w:rPr>
          <w:rFonts w:ascii="Arial" w:hAnsi="Arial" w:cs="Arial"/>
          <w:b/>
          <w:sz w:val="20"/>
          <w:szCs w:val="18"/>
        </w:rPr>
        <w:t>organizzative e di monitoraggio dell’efficacia dell’attività di consulenza.</w:t>
      </w:r>
    </w:p>
    <w:tbl>
      <w:tblPr>
        <w:tblW w:w="4946" w:type="pct"/>
        <w:tblLook w:val="04A0"/>
      </w:tblPr>
      <w:tblGrid>
        <w:gridCol w:w="9748"/>
      </w:tblGrid>
      <w:tr w:rsidR="00D5794A" w:rsidRPr="00D03176" w:rsidTr="00EE368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901CE8" w:rsidRPr="00D64681" w:rsidRDefault="00D5794A" w:rsidP="00D64681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</w:rPr>
            </w:pPr>
            <w:r w:rsidRPr="00D03176">
              <w:rPr>
                <w:rFonts w:ascii="Arial" w:hAnsi="Arial" w:cs="Arial"/>
              </w:rPr>
              <w:br w:type="page"/>
            </w:r>
            <w:r w:rsidR="00901CE8">
              <w:rPr>
                <w:rFonts w:ascii="Arial" w:hAnsi="Arial" w:cs="Arial"/>
                <w:b/>
              </w:rPr>
              <w:t>Dettaglio dell’attività di consulenza 1</w:t>
            </w:r>
          </w:p>
        </w:tc>
      </w:tr>
      <w:tr w:rsidR="00D5794A" w:rsidRPr="00D03176" w:rsidTr="00EE368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CF8" w:rsidRPr="00217CF8" w:rsidRDefault="00217CF8" w:rsidP="00E9124C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217CF8">
              <w:rPr>
                <w:rFonts w:ascii="Arial" w:eastAsia="Times New Roman" w:hAnsi="Arial" w:cs="Arial"/>
                <w:lang w:eastAsia="it-IT"/>
              </w:rPr>
              <w:t>Il servizio di consulenza prevede le seguenti fasi</w:t>
            </w:r>
            <w:r w:rsidR="00E9124C">
              <w:rPr>
                <w:rFonts w:ascii="Arial" w:eastAsia="Times New Roman" w:hAnsi="Arial" w:cs="Arial"/>
                <w:lang w:eastAsia="it-IT"/>
              </w:rPr>
              <w:t xml:space="preserve"> ad opera del consulente </w:t>
            </w:r>
            <w:r w:rsidR="00FC73BC">
              <w:rPr>
                <w:rFonts w:ascii="Arial" w:eastAsia="Times New Roman" w:hAnsi="Arial" w:cs="Arial"/>
                <w:highlight w:val="yellow"/>
                <w:lang w:eastAsia="it-IT"/>
              </w:rPr>
              <w:t>Ing. Vincenzo Cosimo</w:t>
            </w:r>
            <w:r w:rsidRPr="00217CF8">
              <w:rPr>
                <w:rFonts w:ascii="Arial" w:eastAsia="Times New Roman" w:hAnsi="Arial" w:cs="Arial"/>
                <w:highlight w:val="yellow"/>
                <w:lang w:eastAsia="it-IT"/>
              </w:rPr>
              <w:t>:</w:t>
            </w:r>
          </w:p>
          <w:p w:rsidR="00AC6B4B" w:rsidRPr="00AC6B4B" w:rsidRDefault="00AC6B4B" w:rsidP="00AC6B4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eastAsia="it-IT"/>
              </w:rPr>
            </w:pPr>
            <w:r w:rsidRPr="00AC6B4B">
              <w:rPr>
                <w:rFonts w:ascii="Arial" w:eastAsia="Times New Roman" w:hAnsi="Arial" w:cs="Arial"/>
                <w:bdr w:val="none" w:sz="0" w:space="0" w:color="auto" w:frame="1"/>
                <w:lang w:eastAsia="it-IT"/>
              </w:rPr>
              <w:t>Il servizio di consulenza le seguenti fasi:</w:t>
            </w:r>
          </w:p>
          <w:p w:rsidR="00AC6B4B" w:rsidRPr="00AC6B4B" w:rsidRDefault="00AC6B4B" w:rsidP="00AC6B4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450"/>
              <w:jc w:val="both"/>
              <w:textAlignment w:val="baseline"/>
              <w:rPr>
                <w:rFonts w:ascii="Arial" w:eastAsia="Times New Roman" w:hAnsi="Arial" w:cs="Arial"/>
                <w:u w:val="single"/>
                <w:bdr w:val="none" w:sz="0" w:space="0" w:color="auto" w:frame="1"/>
                <w:lang w:eastAsia="it-IT"/>
              </w:rPr>
            </w:pPr>
            <w:r w:rsidRPr="00AC6B4B">
              <w:rPr>
                <w:rFonts w:ascii="Arial" w:eastAsia="Times New Roman" w:hAnsi="Arial" w:cs="Arial"/>
                <w:u w:val="single"/>
                <w:bdr w:val="none" w:sz="0" w:space="0" w:color="auto" w:frame="1"/>
                <w:lang w:eastAsia="it-IT"/>
              </w:rPr>
              <w:t xml:space="preserve">Fase 1: </w:t>
            </w:r>
            <w:r w:rsidRPr="00AC6B4B">
              <w:rPr>
                <w:rFonts w:ascii="Arial" w:eastAsia="Times New Roman" w:hAnsi="Arial" w:cs="Arial"/>
                <w:bdr w:val="none" w:sz="0" w:space="0" w:color="auto" w:frame="1"/>
                <w:lang w:eastAsia="it-IT"/>
              </w:rPr>
              <w:t>il consulente durante la prima visita compila un check-list di controllo dell’azienda, al fine di individuare i punti critici da risolvere, anche dopo un confronto diretto con l’agricoltore durante la prima visita aziendale. Il consulente, oltre alla check-list, predispone anche un rapporto tecnico di visita aziendale che aiuterà l’agricoltore nel superamento delle criticità riscontrate.</w:t>
            </w:r>
          </w:p>
          <w:p w:rsidR="00AC6B4B" w:rsidRDefault="00AC6B4B" w:rsidP="00AC6B4B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u w:val="single"/>
                <w:bdr w:val="none" w:sz="0" w:space="0" w:color="auto" w:frame="1"/>
                <w:lang w:eastAsia="it-IT"/>
              </w:rPr>
            </w:pPr>
            <w:r w:rsidRPr="00AC6B4B">
              <w:rPr>
                <w:rFonts w:ascii="Arial" w:eastAsia="Times New Roman" w:hAnsi="Arial" w:cs="Arial"/>
                <w:u w:val="single"/>
                <w:bdr w:val="none" w:sz="0" w:space="0" w:color="auto" w:frame="1"/>
                <w:lang w:eastAsia="it-IT"/>
              </w:rPr>
              <w:t xml:space="preserve">Fase 2: </w:t>
            </w:r>
            <w:r w:rsidRPr="00AC6B4B">
              <w:rPr>
                <w:rFonts w:ascii="Arial" w:eastAsia="Times New Roman" w:hAnsi="Arial" w:cs="Arial"/>
                <w:bdr w:val="none" w:sz="0" w:space="0" w:color="auto" w:frame="1"/>
                <w:lang w:eastAsia="it-IT"/>
              </w:rPr>
              <w:t>il consulente durante la seconda vista aziendale utilizza un’altra check-list per valutare se i suoi suggerimenti sono stati recepiti dall’azienda e predispone il secondo rapporto tecnico di visita aziendale.</w:t>
            </w:r>
          </w:p>
          <w:p w:rsidR="00F934A2" w:rsidRPr="00217CF8" w:rsidRDefault="007D7689" w:rsidP="00C87A0B">
            <w:pPr>
              <w:shd w:val="clear" w:color="auto" w:fill="FFFFFF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7D7689">
              <w:rPr>
                <w:rFonts w:ascii="Arial" w:eastAsia="Times New Roman" w:hAnsi="Arial" w:cs="Arial"/>
                <w:lang w:eastAsia="it-IT"/>
              </w:rPr>
              <w:t xml:space="preserve">I rapporti </w:t>
            </w:r>
            <w:r>
              <w:rPr>
                <w:rFonts w:ascii="Arial" w:eastAsia="Times New Roman" w:hAnsi="Arial" w:cs="Arial"/>
                <w:lang w:eastAsia="it-IT"/>
              </w:rPr>
              <w:t>saranno</w:t>
            </w:r>
            <w:r w:rsidRPr="007D7689">
              <w:rPr>
                <w:rFonts w:ascii="Arial" w:eastAsia="Times New Roman" w:hAnsi="Arial" w:cs="Arial"/>
                <w:lang w:eastAsia="it-IT"/>
              </w:rPr>
              <w:t xml:space="preserve"> accompagnat</w:t>
            </w:r>
            <w:r>
              <w:rPr>
                <w:rFonts w:ascii="Arial" w:eastAsia="Times New Roman" w:hAnsi="Arial" w:cs="Arial"/>
                <w:lang w:eastAsia="it-IT"/>
              </w:rPr>
              <w:t>i</w:t>
            </w:r>
            <w:r w:rsidRPr="007D7689">
              <w:rPr>
                <w:rFonts w:ascii="Arial" w:eastAsia="Times New Roman" w:hAnsi="Arial" w:cs="Arial"/>
                <w:lang w:eastAsia="it-IT"/>
              </w:rPr>
              <w:t>, da materiale documentale, fotografico o di altra natura utile a dimostrare lo svolgimento del servizio di consulenza.</w:t>
            </w:r>
            <w:r w:rsidR="00F934A2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E9124C">
              <w:rPr>
                <w:rFonts w:ascii="Arial" w:eastAsia="Times New Roman" w:hAnsi="Arial" w:cs="Arial"/>
                <w:lang w:eastAsia="it-IT"/>
              </w:rPr>
              <w:t>Considerato il tempo necessario per la visita aziendale, nonché per la redazione dei rapporti tecnici di cui sopra ed in generale p</w:t>
            </w:r>
            <w:r w:rsidR="00E9124C" w:rsidRPr="00E9124C">
              <w:rPr>
                <w:rFonts w:ascii="Arial" w:eastAsia="Times New Roman" w:hAnsi="Arial" w:cs="Arial"/>
                <w:lang w:eastAsia="it-IT"/>
              </w:rPr>
              <w:t>er l’</w:t>
            </w:r>
            <w:r w:rsidR="00E9124C">
              <w:rPr>
                <w:rFonts w:ascii="Arial" w:eastAsia="Times New Roman" w:hAnsi="Arial" w:cs="Arial"/>
                <w:lang w:eastAsia="it-IT"/>
              </w:rPr>
              <w:t>attività di consulenza descritta, appare</w:t>
            </w:r>
            <w:r w:rsidR="00E9124C" w:rsidRPr="00E9124C">
              <w:rPr>
                <w:rFonts w:ascii="Arial" w:eastAsia="Times New Roman" w:hAnsi="Arial" w:cs="Arial"/>
                <w:lang w:eastAsia="it-IT"/>
              </w:rPr>
              <w:t xml:space="preserve"> congru</w:t>
            </w:r>
            <w:r w:rsidR="00E9124C">
              <w:rPr>
                <w:rFonts w:ascii="Arial" w:eastAsia="Times New Roman" w:hAnsi="Arial" w:cs="Arial"/>
                <w:lang w:eastAsia="it-IT"/>
              </w:rPr>
              <w:t xml:space="preserve">o il numero di ore proposto </w:t>
            </w:r>
            <w:r w:rsidR="00E9124C" w:rsidRPr="00E9124C">
              <w:rPr>
                <w:rFonts w:ascii="Arial" w:eastAsia="Times New Roman" w:hAnsi="Arial" w:cs="Arial"/>
                <w:highlight w:val="yellow"/>
                <w:lang w:eastAsia="it-IT"/>
              </w:rPr>
              <w:t xml:space="preserve">pari a </w:t>
            </w:r>
            <w:r w:rsidR="00C87A0B">
              <w:rPr>
                <w:rFonts w:ascii="Arial" w:eastAsia="Times New Roman" w:hAnsi="Arial" w:cs="Arial"/>
                <w:highlight w:val="yellow"/>
                <w:lang w:eastAsia="it-IT"/>
              </w:rPr>
              <w:t>17</w:t>
            </w:r>
            <w:r w:rsidR="00E9124C">
              <w:rPr>
                <w:rFonts w:ascii="Arial" w:eastAsia="Times New Roman" w:hAnsi="Arial" w:cs="Arial"/>
                <w:highlight w:val="yellow"/>
                <w:lang w:eastAsia="it-IT"/>
              </w:rPr>
              <w:t xml:space="preserve"> proposto dal consulente </w:t>
            </w:r>
            <w:r w:rsidR="00FC73BC" w:rsidRPr="00FC73BC">
              <w:rPr>
                <w:rFonts w:ascii="Arial" w:eastAsia="Times New Roman" w:hAnsi="Arial" w:cs="Arial"/>
                <w:highlight w:val="yellow"/>
                <w:lang w:eastAsia="it-IT"/>
              </w:rPr>
              <w:t>Ing. Vincenzo Cosimo</w:t>
            </w:r>
            <w:r w:rsidR="00E9124C" w:rsidRPr="00E9124C">
              <w:rPr>
                <w:rFonts w:ascii="Arial" w:eastAsia="Times New Roman" w:hAnsi="Arial" w:cs="Arial"/>
                <w:highlight w:val="yellow"/>
                <w:lang w:eastAsia="it-IT"/>
              </w:rPr>
              <w:t>.</w:t>
            </w:r>
          </w:p>
        </w:tc>
      </w:tr>
    </w:tbl>
    <w:p w:rsidR="006315F8" w:rsidRDefault="006315F8" w:rsidP="00D5794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9854"/>
      </w:tblGrid>
      <w:tr w:rsidR="00901CE8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901CE8" w:rsidRPr="00D03176" w:rsidRDefault="00901CE8" w:rsidP="0070494F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  <w:lang w:eastAsia="ar-SA"/>
              </w:rPr>
            </w:pPr>
            <w:r w:rsidRPr="00D03176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</w:rPr>
              <w:t>Dettaglio dell’attività di consulenza 2</w:t>
            </w:r>
          </w:p>
        </w:tc>
      </w:tr>
      <w:tr w:rsidR="00901CE8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CE8" w:rsidRPr="00D03176" w:rsidRDefault="00901CE8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</w:tbl>
    <w:p w:rsidR="00901CE8" w:rsidRDefault="00901CE8" w:rsidP="00D5794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9854"/>
      </w:tblGrid>
      <w:tr w:rsidR="00901CE8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901CE8" w:rsidRPr="00D03176" w:rsidRDefault="00901CE8" w:rsidP="0070494F">
            <w:pPr>
              <w:suppressAutoHyphens/>
              <w:autoSpaceDE w:val="0"/>
              <w:snapToGrid w:val="0"/>
              <w:spacing w:before="120" w:after="120" w:line="280" w:lineRule="exact"/>
              <w:jc w:val="center"/>
              <w:rPr>
                <w:rFonts w:ascii="Arial" w:hAnsi="Arial" w:cs="Arial"/>
                <w:b/>
                <w:lang w:eastAsia="ar-SA"/>
              </w:rPr>
            </w:pPr>
            <w:r w:rsidRPr="00D03176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</w:rPr>
              <w:t>Dettaglio dell’attività di consulenza 3</w:t>
            </w:r>
          </w:p>
        </w:tc>
      </w:tr>
      <w:tr w:rsidR="00901CE8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5F5" w:rsidRPr="00D03176" w:rsidRDefault="00FD65F5" w:rsidP="0070494F">
            <w:pPr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lang w:eastAsia="ar-SA"/>
              </w:rPr>
            </w:pPr>
          </w:p>
        </w:tc>
      </w:tr>
    </w:tbl>
    <w:p w:rsidR="00901CE8" w:rsidRDefault="00901CE8" w:rsidP="00D5794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9854"/>
      </w:tblGrid>
      <w:tr w:rsidR="00D5794A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D5794A" w:rsidRPr="00074278" w:rsidRDefault="00D5794A" w:rsidP="00AF397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snapToGrid w:val="0"/>
              <w:spacing w:before="120" w:after="120" w:line="280" w:lineRule="exact"/>
              <w:rPr>
                <w:rFonts w:ascii="Arial" w:hAnsi="Arial" w:cs="Arial"/>
                <w:b/>
                <w:lang w:eastAsia="ar-SA"/>
              </w:rPr>
            </w:pPr>
            <w:r w:rsidRPr="00074278">
              <w:rPr>
                <w:rFonts w:ascii="Arial" w:hAnsi="Arial" w:cs="Arial"/>
              </w:rPr>
              <w:br w:type="page"/>
            </w:r>
            <w:r w:rsidRPr="00074278">
              <w:rPr>
                <w:rFonts w:ascii="Arial" w:hAnsi="Arial" w:cs="Arial"/>
              </w:rPr>
              <w:br w:type="page"/>
            </w:r>
            <w:r w:rsidRPr="00074278">
              <w:rPr>
                <w:rFonts w:ascii="Arial" w:hAnsi="Arial" w:cs="Arial"/>
                <w:b/>
              </w:rPr>
              <w:t xml:space="preserve">Risultati </w:t>
            </w:r>
            <w:r w:rsidR="00D64681" w:rsidRPr="00074278">
              <w:rPr>
                <w:rFonts w:ascii="Arial" w:hAnsi="Arial" w:cs="Arial"/>
                <w:b/>
              </w:rPr>
              <w:t>attesi dai servizi di consulenza</w:t>
            </w:r>
          </w:p>
        </w:tc>
      </w:tr>
      <w:tr w:rsidR="00D5794A" w:rsidRPr="00D03176" w:rsidTr="00835E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94A" w:rsidRDefault="0070494F" w:rsidP="00495BFE">
            <w:p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70494F">
              <w:rPr>
                <w:rFonts w:ascii="Arial" w:hAnsi="Arial" w:cs="Arial"/>
                <w:lang w:eastAsia="ar-SA"/>
              </w:rPr>
              <w:t>I risultati attesi dai servizi di consulenza</w:t>
            </w:r>
            <w:r w:rsidR="00495BFE">
              <w:rPr>
                <w:rFonts w:ascii="Arial" w:hAnsi="Arial" w:cs="Arial"/>
                <w:lang w:eastAsia="ar-SA"/>
              </w:rPr>
              <w:t>:</w:t>
            </w:r>
          </w:p>
          <w:p w:rsidR="00910096" w:rsidRPr="00910096" w:rsidRDefault="0026190D" w:rsidP="00910096">
            <w:pPr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Diminuire</w:t>
            </w:r>
            <w:r w:rsidR="00910096" w:rsidRPr="00910096">
              <w:rPr>
                <w:rFonts w:ascii="Arial" w:hAnsi="Arial" w:cs="Arial"/>
                <w:lang w:eastAsia="ar-SA"/>
              </w:rPr>
              <w:t xml:space="preserve"> i rischi delle attività aziendali</w:t>
            </w:r>
          </w:p>
          <w:p w:rsidR="00910096" w:rsidRPr="00910096" w:rsidRDefault="00910096" w:rsidP="00910096">
            <w:pPr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910096">
              <w:rPr>
                <w:rFonts w:ascii="Arial" w:hAnsi="Arial" w:cs="Arial"/>
                <w:lang w:eastAsia="ar-SA"/>
              </w:rPr>
              <w:t>Monitorare i livelli di osservanza delle norme di sicurezza</w:t>
            </w:r>
          </w:p>
          <w:p w:rsidR="00910096" w:rsidRPr="00910096" w:rsidRDefault="00910096" w:rsidP="00910096">
            <w:pPr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910096">
              <w:rPr>
                <w:rFonts w:ascii="Arial" w:hAnsi="Arial" w:cs="Arial"/>
                <w:lang w:eastAsia="ar-SA"/>
              </w:rPr>
              <w:t>Migliorare il rispetto dell’applicazione del T.U.</w:t>
            </w:r>
          </w:p>
          <w:p w:rsidR="00495BFE" w:rsidRPr="00910096" w:rsidRDefault="00910096" w:rsidP="00910096">
            <w:pPr>
              <w:numPr>
                <w:ilvl w:val="0"/>
                <w:numId w:val="5"/>
              </w:numPr>
              <w:autoSpaceDE w:val="0"/>
              <w:snapToGrid w:val="0"/>
              <w:spacing w:before="120" w:after="120" w:line="280" w:lineRule="exact"/>
              <w:jc w:val="both"/>
              <w:rPr>
                <w:rFonts w:ascii="Arial" w:hAnsi="Arial" w:cs="Arial"/>
                <w:lang w:eastAsia="ar-SA"/>
              </w:rPr>
            </w:pPr>
            <w:r w:rsidRPr="00910096">
              <w:rPr>
                <w:rFonts w:ascii="Arial" w:hAnsi="Arial" w:cs="Arial"/>
                <w:lang w:eastAsia="ar-SA"/>
              </w:rPr>
              <w:t>Abbassare il livello di pericolosità del settore agricoltura</w:t>
            </w:r>
          </w:p>
        </w:tc>
      </w:tr>
    </w:tbl>
    <w:p w:rsidR="00FD65F5" w:rsidRDefault="00FD65F5" w:rsidP="00D5794A">
      <w:pPr>
        <w:spacing w:after="0" w:line="240" w:lineRule="auto"/>
        <w:rPr>
          <w:rFonts w:ascii="Arial" w:hAnsi="Arial" w:cs="Arial"/>
        </w:rPr>
      </w:pPr>
    </w:p>
    <w:p w:rsidR="00FD65F5" w:rsidRDefault="00011CE8" w:rsidP="00F934A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Allega alla presente un documento di identità in corso di validità</w:t>
      </w:r>
    </w:p>
    <w:p w:rsidR="00FD65F5" w:rsidRDefault="00FD65F5" w:rsidP="00FD65F5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TIMBRO E FIRMA</w:t>
      </w:r>
    </w:p>
    <w:p w:rsidR="00FD65F5" w:rsidRDefault="00FD65F5" w:rsidP="00FD65F5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DEL LEGALE RAPPRESENTANTE DELL’ORGANISMO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CONSULENZA</w:t>
      </w:r>
    </w:p>
    <w:p w:rsidR="00FD65F5" w:rsidRDefault="00FD65F5" w:rsidP="00FD65F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___________________________________</w:t>
      </w:r>
    </w:p>
    <w:p w:rsidR="00BA5B6B" w:rsidRPr="00D03176" w:rsidRDefault="00BA5B6B" w:rsidP="00F934A2">
      <w:pPr>
        <w:rPr>
          <w:rFonts w:ascii="Arial" w:hAnsi="Arial" w:cs="Arial"/>
        </w:rPr>
      </w:pPr>
    </w:p>
    <w:sectPr w:rsidR="00BA5B6B" w:rsidRPr="00D03176" w:rsidSect="00606800">
      <w:headerReference w:type="default" r:id="rId10"/>
      <w:pgSz w:w="11906" w:h="16838"/>
      <w:pgMar w:top="1593" w:right="1134" w:bottom="851" w:left="1134" w:header="708" w:footer="4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CA3" w:rsidRDefault="00CC6CA3" w:rsidP="00761D20">
      <w:pPr>
        <w:spacing w:after="0" w:line="240" w:lineRule="auto"/>
      </w:pPr>
      <w:r>
        <w:separator/>
      </w:r>
    </w:p>
  </w:endnote>
  <w:endnote w:type="continuationSeparator" w:id="0">
    <w:p w:rsidR="00CC6CA3" w:rsidRDefault="00CC6CA3" w:rsidP="0076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i/>
        <w:sz w:val="18"/>
        <w:szCs w:val="18"/>
      </w:rPr>
      <w:id w:val="188066678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70494F" w:rsidRPr="004B2924" w:rsidRDefault="0070494F" w:rsidP="00D5794A">
            <w:pPr>
              <w:pStyle w:val="Pidipagina"/>
              <w:pBdr>
                <w:top w:val="single" w:sz="4" w:space="1" w:color="2E74B5" w:themeColor="accent1" w:themeShade="BF"/>
              </w:pBd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Scheda di ingresso – Tipologia di intervento 2.1.1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16584">
              <w:rPr>
                <w:rFonts w:ascii="Arial" w:hAnsi="Arial" w:cs="Arial"/>
                <w:i/>
                <w:sz w:val="18"/>
                <w:szCs w:val="18"/>
              </w:rPr>
              <w:tab/>
              <w:t xml:space="preserve">Pag. </w:t>
            </w:r>
            <w:r w:rsidR="00F629BE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/>
            </w:r>
            <w:r w:rsidRPr="00316584">
              <w:rPr>
                <w:rFonts w:ascii="Arial" w:hAnsi="Arial" w:cs="Arial"/>
                <w:bCs/>
                <w:i/>
                <w:sz w:val="18"/>
                <w:szCs w:val="18"/>
              </w:rPr>
              <w:instrText>PAGE</w:instrText>
            </w:r>
            <w:r w:rsidR="00F629BE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="00C87A0B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5</w:t>
            </w:r>
            <w:r w:rsidR="00F629BE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  <w:r w:rsidRPr="00316584">
              <w:rPr>
                <w:rFonts w:ascii="Arial" w:hAnsi="Arial" w:cs="Arial"/>
                <w:i/>
                <w:sz w:val="18"/>
                <w:szCs w:val="18"/>
              </w:rPr>
              <w:t xml:space="preserve"> di </w:t>
            </w:r>
            <w:r w:rsidR="00F629BE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/>
            </w:r>
            <w:r w:rsidRPr="00316584">
              <w:rPr>
                <w:rFonts w:ascii="Arial" w:hAnsi="Arial" w:cs="Arial"/>
                <w:bCs/>
                <w:i/>
                <w:sz w:val="18"/>
                <w:szCs w:val="18"/>
              </w:rPr>
              <w:instrText>NUMPAGES</w:instrText>
            </w:r>
            <w:r w:rsidR="00F629BE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="00C87A0B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5</w:t>
            </w:r>
            <w:r w:rsidR="00F629BE" w:rsidRPr="00316584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CA3" w:rsidRDefault="00CC6CA3" w:rsidP="00761D20">
      <w:pPr>
        <w:spacing w:after="0" w:line="240" w:lineRule="auto"/>
      </w:pPr>
      <w:r>
        <w:separator/>
      </w:r>
    </w:p>
  </w:footnote>
  <w:footnote w:type="continuationSeparator" w:id="0">
    <w:p w:rsidR="00CC6CA3" w:rsidRDefault="00CC6CA3" w:rsidP="0076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center"/>
      <w:tblLayout w:type="fixed"/>
      <w:tblLook w:val="04A0"/>
    </w:tblPr>
    <w:tblGrid>
      <w:gridCol w:w="2660"/>
      <w:gridCol w:w="2835"/>
      <w:gridCol w:w="1984"/>
      <w:gridCol w:w="2375"/>
    </w:tblGrid>
    <w:tr w:rsidR="0070494F" w:rsidRPr="00E80065" w:rsidTr="005573AA">
      <w:trPr>
        <w:jc w:val="center"/>
      </w:trPr>
      <w:tc>
        <w:tcPr>
          <w:tcW w:w="2660" w:type="dxa"/>
        </w:tcPr>
        <w:p w:rsidR="0070494F" w:rsidRPr="00E80065" w:rsidRDefault="0070494F" w:rsidP="00D11379">
          <w:pPr>
            <w:pStyle w:val="Intestazione"/>
            <w:ind w:left="-142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590040" cy="993775"/>
                <wp:effectExtent l="19050" t="0" r="0" b="0"/>
                <wp:docPr id="9" name="Immagine 9" descr="unione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 descr="unione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04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70494F" w:rsidRPr="00E80065" w:rsidRDefault="0070494F" w:rsidP="00D11379">
          <w:pPr>
            <w:pStyle w:val="Intestazione"/>
            <w:ind w:left="-108"/>
            <w:jc w:val="center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809115" cy="984250"/>
                <wp:effectExtent l="19050" t="0" r="635" b="0"/>
                <wp:docPr id="10" name="Immagine 40" descr="ministero polt agri, 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0" descr="ministero polt agri, 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:rsidR="0070494F" w:rsidRPr="00E80065" w:rsidRDefault="0070494F" w:rsidP="00D11379">
          <w:pPr>
            <w:pStyle w:val="Intestazione"/>
            <w:spacing w:before="200"/>
            <w:ind w:left="-108"/>
            <w:jc w:val="center"/>
            <w:rPr>
              <w:sz w:val="12"/>
              <w:szCs w:val="12"/>
            </w:rPr>
          </w:pPr>
          <w:r>
            <w:rPr>
              <w:noProof/>
              <w:sz w:val="12"/>
              <w:szCs w:val="12"/>
              <w:lang w:eastAsia="it-IT"/>
            </w:rPr>
            <w:drawing>
              <wp:inline distT="0" distB="0" distL="0" distR="0">
                <wp:extent cx="497205" cy="497205"/>
                <wp:effectExtent l="19050" t="0" r="0" b="0"/>
                <wp:docPr id="11" name="Immagine 1" descr="REGCAL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GCAL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0494F" w:rsidRPr="00E80065" w:rsidRDefault="0070494F" w:rsidP="00D11379">
          <w:pPr>
            <w:pStyle w:val="Intestazione"/>
            <w:ind w:left="-108"/>
            <w:jc w:val="center"/>
            <w:rPr>
              <w:noProof/>
            </w:rPr>
          </w:pPr>
          <w:r w:rsidRPr="00E80065">
            <w:rPr>
              <w:rFonts w:ascii="Verdana" w:hAnsi="Verdana" w:cs="Arial"/>
              <w:b/>
              <w:smallCaps/>
              <w:spacing w:val="22"/>
              <w:sz w:val="13"/>
              <w:szCs w:val="13"/>
            </w:rPr>
            <w:t>REGIONE CALABRIA</w:t>
          </w:r>
        </w:p>
      </w:tc>
      <w:tc>
        <w:tcPr>
          <w:tcW w:w="2375" w:type="dxa"/>
        </w:tcPr>
        <w:p w:rsidR="0070494F" w:rsidRPr="00E80065" w:rsidRDefault="0070494F" w:rsidP="00D11379">
          <w:pPr>
            <w:pStyle w:val="Intestazione"/>
            <w:ind w:left="-119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91285" cy="735330"/>
                <wp:effectExtent l="19050" t="0" r="0" b="0"/>
                <wp:docPr id="12" name="Immagine 63" descr="PSR2014_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3" descr="PSR2014_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4900" t="6667" r="7300" b="8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494F" w:rsidRDefault="0070494F" w:rsidP="00E36E3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61" w:type="dxa"/>
      <w:jc w:val="center"/>
      <w:tblLayout w:type="fixed"/>
      <w:tblLook w:val="04A0"/>
    </w:tblPr>
    <w:tblGrid>
      <w:gridCol w:w="2635"/>
      <w:gridCol w:w="2808"/>
      <w:gridCol w:w="1965"/>
      <w:gridCol w:w="2353"/>
    </w:tblGrid>
    <w:tr w:rsidR="0070494F" w:rsidRPr="00E80065" w:rsidTr="00A132AC">
      <w:trPr>
        <w:trHeight w:val="1601"/>
        <w:jc w:val="center"/>
      </w:trPr>
      <w:tc>
        <w:tcPr>
          <w:tcW w:w="2635" w:type="dxa"/>
        </w:tcPr>
        <w:p w:rsidR="0070494F" w:rsidRPr="00E80065" w:rsidRDefault="0070494F" w:rsidP="00D11379">
          <w:pPr>
            <w:pStyle w:val="Intestazione"/>
            <w:ind w:left="-142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590040" cy="993775"/>
                <wp:effectExtent l="19050" t="0" r="0" b="0"/>
                <wp:docPr id="1" name="Immagine 9" descr="unione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 descr="unione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04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dxa"/>
        </w:tcPr>
        <w:p w:rsidR="0070494F" w:rsidRPr="00E80065" w:rsidRDefault="0070494F" w:rsidP="00D11379">
          <w:pPr>
            <w:pStyle w:val="Intestazione"/>
            <w:ind w:left="-108"/>
            <w:jc w:val="center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809115" cy="984250"/>
                <wp:effectExtent l="19050" t="0" r="635" b="0"/>
                <wp:docPr id="2" name="Immagine 40" descr="ministero polt agri, 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0" descr="ministero polt agri, 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5" w:type="dxa"/>
        </w:tcPr>
        <w:p w:rsidR="0070494F" w:rsidRPr="00E80065" w:rsidRDefault="0070494F" w:rsidP="00D11379">
          <w:pPr>
            <w:pStyle w:val="Intestazione"/>
            <w:spacing w:before="200"/>
            <w:ind w:left="-108"/>
            <w:jc w:val="center"/>
            <w:rPr>
              <w:sz w:val="12"/>
              <w:szCs w:val="12"/>
            </w:rPr>
          </w:pPr>
          <w:r>
            <w:rPr>
              <w:noProof/>
              <w:sz w:val="12"/>
              <w:szCs w:val="12"/>
              <w:lang w:eastAsia="it-IT"/>
            </w:rPr>
            <w:drawing>
              <wp:inline distT="0" distB="0" distL="0" distR="0">
                <wp:extent cx="497205" cy="497205"/>
                <wp:effectExtent l="19050" t="0" r="0" b="0"/>
                <wp:docPr id="3" name="Immagine 1" descr="REGCAL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GCAL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0494F" w:rsidRPr="00E80065" w:rsidRDefault="0070494F" w:rsidP="00D11379">
          <w:pPr>
            <w:pStyle w:val="Intestazione"/>
            <w:ind w:left="-108"/>
            <w:jc w:val="center"/>
            <w:rPr>
              <w:noProof/>
            </w:rPr>
          </w:pPr>
          <w:r w:rsidRPr="00E80065">
            <w:rPr>
              <w:rFonts w:ascii="Verdana" w:hAnsi="Verdana" w:cs="Arial"/>
              <w:b/>
              <w:smallCaps/>
              <w:spacing w:val="22"/>
              <w:sz w:val="13"/>
              <w:szCs w:val="13"/>
            </w:rPr>
            <w:t>REGIONE CALABRIA</w:t>
          </w:r>
        </w:p>
      </w:tc>
      <w:tc>
        <w:tcPr>
          <w:tcW w:w="2353" w:type="dxa"/>
        </w:tcPr>
        <w:p w:rsidR="0070494F" w:rsidRPr="00E80065" w:rsidRDefault="0070494F" w:rsidP="00D11379">
          <w:pPr>
            <w:pStyle w:val="Intestazione"/>
            <w:ind w:left="-119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91285" cy="735330"/>
                <wp:effectExtent l="19050" t="0" r="0" b="0"/>
                <wp:docPr id="4" name="Immagine 63" descr="PSR2014_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3" descr="PSR2014_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4900" t="6667" r="7300" b="8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494F" w:rsidRDefault="0070494F" w:rsidP="00FD65F5">
    <w:pPr>
      <w:pStyle w:val="Intestazione"/>
      <w:jc w:val="center"/>
      <w:rPr>
        <w:rFonts w:ascii="Arial" w:hAnsi="Arial" w:cs="Arial"/>
      </w:rPr>
    </w:pPr>
    <w:r w:rsidRPr="005573AA">
      <w:rPr>
        <w:rFonts w:ascii="Arial" w:hAnsi="Arial" w:cs="Arial"/>
      </w:rPr>
      <w:t xml:space="preserve">DICHIARAZIONE RESA AI SENSI DEL </w:t>
    </w:r>
    <w:proofErr w:type="spellStart"/>
    <w:r w:rsidRPr="005573AA">
      <w:rPr>
        <w:rFonts w:ascii="Arial" w:hAnsi="Arial" w:cs="Arial"/>
      </w:rPr>
      <w:t>D.P.R</w:t>
    </w:r>
    <w:proofErr w:type="spellEnd"/>
    <w:r w:rsidRPr="005573AA">
      <w:rPr>
        <w:rFonts w:ascii="Arial" w:hAnsi="Arial" w:cs="Arial"/>
      </w:rPr>
      <w:t xml:space="preserve"> n. 445 del 2000</w:t>
    </w:r>
  </w:p>
  <w:p w:rsidR="0070494F" w:rsidRDefault="0070494F" w:rsidP="005573A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B1C"/>
    <w:multiLevelType w:val="multilevel"/>
    <w:tmpl w:val="E544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C6DAB"/>
    <w:multiLevelType w:val="multilevel"/>
    <w:tmpl w:val="2628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E5DB1"/>
    <w:multiLevelType w:val="hybridMultilevel"/>
    <w:tmpl w:val="42B44D18"/>
    <w:lvl w:ilvl="0" w:tplc="4FAE287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B5076D"/>
    <w:multiLevelType w:val="hybridMultilevel"/>
    <w:tmpl w:val="3CC84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72016"/>
    <w:multiLevelType w:val="hybridMultilevel"/>
    <w:tmpl w:val="EA66822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2072E6E"/>
    <w:multiLevelType w:val="hybridMultilevel"/>
    <w:tmpl w:val="0ABC5312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2485722"/>
    <w:multiLevelType w:val="multilevel"/>
    <w:tmpl w:val="F63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56CEA"/>
    <w:multiLevelType w:val="multilevel"/>
    <w:tmpl w:val="546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417A02"/>
    <w:multiLevelType w:val="multilevel"/>
    <w:tmpl w:val="FFE47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D3DFD"/>
    <w:multiLevelType w:val="multilevel"/>
    <w:tmpl w:val="A6BACF1E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0">
    <w:nsid w:val="48077554"/>
    <w:multiLevelType w:val="hybridMultilevel"/>
    <w:tmpl w:val="F0128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C5265"/>
    <w:multiLevelType w:val="multilevel"/>
    <w:tmpl w:val="44F6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27195"/>
    <w:multiLevelType w:val="hybridMultilevel"/>
    <w:tmpl w:val="58F4E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950B7"/>
    <w:multiLevelType w:val="multilevel"/>
    <w:tmpl w:val="7A86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505D76"/>
    <w:multiLevelType w:val="multilevel"/>
    <w:tmpl w:val="833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9A39FA"/>
    <w:multiLevelType w:val="multilevel"/>
    <w:tmpl w:val="E396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F46FF"/>
    <w:multiLevelType w:val="hybridMultilevel"/>
    <w:tmpl w:val="B9C4364E"/>
    <w:lvl w:ilvl="0" w:tplc="71E4D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B4F72"/>
    <w:multiLevelType w:val="multilevel"/>
    <w:tmpl w:val="14B6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10"/>
  </w:num>
  <w:num w:numId="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</w:num>
  <w:num w:numId="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4"/>
  </w:num>
  <w:num w:numId="1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761D20"/>
    <w:rsid w:val="0000773D"/>
    <w:rsid w:val="00011CE8"/>
    <w:rsid w:val="00013188"/>
    <w:rsid w:val="00014ECA"/>
    <w:rsid w:val="00015C95"/>
    <w:rsid w:val="00016B93"/>
    <w:rsid w:val="00030494"/>
    <w:rsid w:val="00031C95"/>
    <w:rsid w:val="000329A4"/>
    <w:rsid w:val="00032FA4"/>
    <w:rsid w:val="0003516C"/>
    <w:rsid w:val="00035E05"/>
    <w:rsid w:val="00036DF7"/>
    <w:rsid w:val="0004027A"/>
    <w:rsid w:val="000415B5"/>
    <w:rsid w:val="00044678"/>
    <w:rsid w:val="00044BCC"/>
    <w:rsid w:val="000513A6"/>
    <w:rsid w:val="0005192D"/>
    <w:rsid w:val="00053129"/>
    <w:rsid w:val="000532BF"/>
    <w:rsid w:val="000602FE"/>
    <w:rsid w:val="00060D20"/>
    <w:rsid w:val="00065F76"/>
    <w:rsid w:val="00074278"/>
    <w:rsid w:val="00082E3F"/>
    <w:rsid w:val="000854ED"/>
    <w:rsid w:val="00086DB2"/>
    <w:rsid w:val="00090E3E"/>
    <w:rsid w:val="00090FD0"/>
    <w:rsid w:val="00091BBB"/>
    <w:rsid w:val="00092856"/>
    <w:rsid w:val="000971CD"/>
    <w:rsid w:val="00097BD3"/>
    <w:rsid w:val="000A0B23"/>
    <w:rsid w:val="000A5125"/>
    <w:rsid w:val="000B2888"/>
    <w:rsid w:val="000B2FC9"/>
    <w:rsid w:val="000B4F6F"/>
    <w:rsid w:val="000B50A0"/>
    <w:rsid w:val="000C0215"/>
    <w:rsid w:val="000C11A0"/>
    <w:rsid w:val="000C19D9"/>
    <w:rsid w:val="000C2E51"/>
    <w:rsid w:val="000C4B9D"/>
    <w:rsid w:val="000C6D48"/>
    <w:rsid w:val="000C7EA0"/>
    <w:rsid w:val="000D0DA0"/>
    <w:rsid w:val="000D2984"/>
    <w:rsid w:val="000D6768"/>
    <w:rsid w:val="000D6FB0"/>
    <w:rsid w:val="000E2F13"/>
    <w:rsid w:val="000F4060"/>
    <w:rsid w:val="000F4474"/>
    <w:rsid w:val="000F4DCE"/>
    <w:rsid w:val="000F760B"/>
    <w:rsid w:val="00102153"/>
    <w:rsid w:val="0010367E"/>
    <w:rsid w:val="0011751D"/>
    <w:rsid w:val="00127D91"/>
    <w:rsid w:val="001308AD"/>
    <w:rsid w:val="00131C88"/>
    <w:rsid w:val="0013379D"/>
    <w:rsid w:val="0013667C"/>
    <w:rsid w:val="00137781"/>
    <w:rsid w:val="00146624"/>
    <w:rsid w:val="001469EC"/>
    <w:rsid w:val="001475E3"/>
    <w:rsid w:val="001614C8"/>
    <w:rsid w:val="001670DC"/>
    <w:rsid w:val="001675EE"/>
    <w:rsid w:val="00173219"/>
    <w:rsid w:val="0017689C"/>
    <w:rsid w:val="001770D0"/>
    <w:rsid w:val="00177E25"/>
    <w:rsid w:val="001821DB"/>
    <w:rsid w:val="00187E7B"/>
    <w:rsid w:val="001941C5"/>
    <w:rsid w:val="00194702"/>
    <w:rsid w:val="00196B29"/>
    <w:rsid w:val="001A2795"/>
    <w:rsid w:val="001B43F9"/>
    <w:rsid w:val="001C2513"/>
    <w:rsid w:val="001C5718"/>
    <w:rsid w:val="001D469A"/>
    <w:rsid w:val="001D5D8D"/>
    <w:rsid w:val="001E12AA"/>
    <w:rsid w:val="001E1E10"/>
    <w:rsid w:val="001E27B5"/>
    <w:rsid w:val="001E4B85"/>
    <w:rsid w:val="001F0436"/>
    <w:rsid w:val="001F592B"/>
    <w:rsid w:val="001F704A"/>
    <w:rsid w:val="001F72DB"/>
    <w:rsid w:val="001F7951"/>
    <w:rsid w:val="00201F9E"/>
    <w:rsid w:val="002070A9"/>
    <w:rsid w:val="00211785"/>
    <w:rsid w:val="00217CF8"/>
    <w:rsid w:val="0022087D"/>
    <w:rsid w:val="00221AD2"/>
    <w:rsid w:val="00222321"/>
    <w:rsid w:val="002304D1"/>
    <w:rsid w:val="00237A3C"/>
    <w:rsid w:val="002440A2"/>
    <w:rsid w:val="0024646F"/>
    <w:rsid w:val="0024794B"/>
    <w:rsid w:val="00250B8F"/>
    <w:rsid w:val="002520A9"/>
    <w:rsid w:val="00253BEE"/>
    <w:rsid w:val="00254120"/>
    <w:rsid w:val="0026190D"/>
    <w:rsid w:val="0026337D"/>
    <w:rsid w:val="00263F5D"/>
    <w:rsid w:val="0026403A"/>
    <w:rsid w:val="00271E8B"/>
    <w:rsid w:val="00275538"/>
    <w:rsid w:val="00280226"/>
    <w:rsid w:val="002815CB"/>
    <w:rsid w:val="00291A5E"/>
    <w:rsid w:val="002A017E"/>
    <w:rsid w:val="002A25F5"/>
    <w:rsid w:val="002B2C0E"/>
    <w:rsid w:val="002B5140"/>
    <w:rsid w:val="002B5713"/>
    <w:rsid w:val="002B7AE2"/>
    <w:rsid w:val="002C164C"/>
    <w:rsid w:val="002C5A86"/>
    <w:rsid w:val="002D0677"/>
    <w:rsid w:val="002D51DC"/>
    <w:rsid w:val="002D55EA"/>
    <w:rsid w:val="002D66F7"/>
    <w:rsid w:val="002D7121"/>
    <w:rsid w:val="002E3100"/>
    <w:rsid w:val="002E731F"/>
    <w:rsid w:val="002E7C0D"/>
    <w:rsid w:val="002F2C17"/>
    <w:rsid w:val="002F7B0B"/>
    <w:rsid w:val="00300872"/>
    <w:rsid w:val="003111E9"/>
    <w:rsid w:val="00311CDF"/>
    <w:rsid w:val="003160E4"/>
    <w:rsid w:val="00316584"/>
    <w:rsid w:val="00322C9C"/>
    <w:rsid w:val="00322DD0"/>
    <w:rsid w:val="003255E6"/>
    <w:rsid w:val="00326111"/>
    <w:rsid w:val="00326DF2"/>
    <w:rsid w:val="003370E6"/>
    <w:rsid w:val="00341106"/>
    <w:rsid w:val="003424F2"/>
    <w:rsid w:val="00342882"/>
    <w:rsid w:val="00345EF7"/>
    <w:rsid w:val="00351252"/>
    <w:rsid w:val="00361C50"/>
    <w:rsid w:val="00367174"/>
    <w:rsid w:val="00370DBE"/>
    <w:rsid w:val="00372296"/>
    <w:rsid w:val="00372B57"/>
    <w:rsid w:val="00374887"/>
    <w:rsid w:val="00376939"/>
    <w:rsid w:val="00380994"/>
    <w:rsid w:val="003813CD"/>
    <w:rsid w:val="00382299"/>
    <w:rsid w:val="00393365"/>
    <w:rsid w:val="00394B0B"/>
    <w:rsid w:val="00397B31"/>
    <w:rsid w:val="003A21D7"/>
    <w:rsid w:val="003A5707"/>
    <w:rsid w:val="003A6278"/>
    <w:rsid w:val="003A7144"/>
    <w:rsid w:val="003B1AE3"/>
    <w:rsid w:val="003B7621"/>
    <w:rsid w:val="003B772E"/>
    <w:rsid w:val="003C1DE2"/>
    <w:rsid w:val="003C1FA3"/>
    <w:rsid w:val="003C2D5C"/>
    <w:rsid w:val="003C5F07"/>
    <w:rsid w:val="003D07CE"/>
    <w:rsid w:val="003D1949"/>
    <w:rsid w:val="003D20BB"/>
    <w:rsid w:val="003D7035"/>
    <w:rsid w:val="003E08D0"/>
    <w:rsid w:val="003E20CA"/>
    <w:rsid w:val="003E467A"/>
    <w:rsid w:val="003E5054"/>
    <w:rsid w:val="003E6D4E"/>
    <w:rsid w:val="003F4AE9"/>
    <w:rsid w:val="003F4FEB"/>
    <w:rsid w:val="003F5E8B"/>
    <w:rsid w:val="0040317A"/>
    <w:rsid w:val="00404D9D"/>
    <w:rsid w:val="00405A44"/>
    <w:rsid w:val="004066C3"/>
    <w:rsid w:val="00410EEA"/>
    <w:rsid w:val="004136E4"/>
    <w:rsid w:val="00414BF0"/>
    <w:rsid w:val="00421BE7"/>
    <w:rsid w:val="00427783"/>
    <w:rsid w:val="00430313"/>
    <w:rsid w:val="00432EA0"/>
    <w:rsid w:val="00435A1D"/>
    <w:rsid w:val="004470DA"/>
    <w:rsid w:val="004563E1"/>
    <w:rsid w:val="00457B1D"/>
    <w:rsid w:val="00463C51"/>
    <w:rsid w:val="00466DB9"/>
    <w:rsid w:val="004713E6"/>
    <w:rsid w:val="00474898"/>
    <w:rsid w:val="00476732"/>
    <w:rsid w:val="004770D0"/>
    <w:rsid w:val="00481158"/>
    <w:rsid w:val="00485B12"/>
    <w:rsid w:val="00491352"/>
    <w:rsid w:val="00494B32"/>
    <w:rsid w:val="00495BFE"/>
    <w:rsid w:val="00497B5F"/>
    <w:rsid w:val="004A01E8"/>
    <w:rsid w:val="004A364A"/>
    <w:rsid w:val="004B2924"/>
    <w:rsid w:val="004B314D"/>
    <w:rsid w:val="004C2505"/>
    <w:rsid w:val="004C5F65"/>
    <w:rsid w:val="004C7CF0"/>
    <w:rsid w:val="004D00C4"/>
    <w:rsid w:val="004E3D6B"/>
    <w:rsid w:val="004F2B71"/>
    <w:rsid w:val="004F3800"/>
    <w:rsid w:val="004F4630"/>
    <w:rsid w:val="004F6642"/>
    <w:rsid w:val="0050000A"/>
    <w:rsid w:val="00503718"/>
    <w:rsid w:val="0050565F"/>
    <w:rsid w:val="00514415"/>
    <w:rsid w:val="00517B64"/>
    <w:rsid w:val="00522794"/>
    <w:rsid w:val="00522B31"/>
    <w:rsid w:val="0052701D"/>
    <w:rsid w:val="005300C5"/>
    <w:rsid w:val="00535439"/>
    <w:rsid w:val="005418AE"/>
    <w:rsid w:val="005552D7"/>
    <w:rsid w:val="005559BF"/>
    <w:rsid w:val="005572A6"/>
    <w:rsid w:val="005573AA"/>
    <w:rsid w:val="00557539"/>
    <w:rsid w:val="0056084F"/>
    <w:rsid w:val="005652E2"/>
    <w:rsid w:val="00567B3B"/>
    <w:rsid w:val="00573E12"/>
    <w:rsid w:val="00580686"/>
    <w:rsid w:val="00581B66"/>
    <w:rsid w:val="005842B9"/>
    <w:rsid w:val="00592925"/>
    <w:rsid w:val="005969E0"/>
    <w:rsid w:val="005A52CD"/>
    <w:rsid w:val="005B74C2"/>
    <w:rsid w:val="005C0AB7"/>
    <w:rsid w:val="005C1786"/>
    <w:rsid w:val="005C79AE"/>
    <w:rsid w:val="005D21B0"/>
    <w:rsid w:val="005D2227"/>
    <w:rsid w:val="005D400B"/>
    <w:rsid w:val="005D4E10"/>
    <w:rsid w:val="005E0B56"/>
    <w:rsid w:val="005E4680"/>
    <w:rsid w:val="005E5295"/>
    <w:rsid w:val="005E5640"/>
    <w:rsid w:val="005F71E0"/>
    <w:rsid w:val="005F7263"/>
    <w:rsid w:val="00600143"/>
    <w:rsid w:val="00601C45"/>
    <w:rsid w:val="00601D73"/>
    <w:rsid w:val="00602E38"/>
    <w:rsid w:val="006037DB"/>
    <w:rsid w:val="006043FE"/>
    <w:rsid w:val="006051B2"/>
    <w:rsid w:val="0060637B"/>
    <w:rsid w:val="006067DD"/>
    <w:rsid w:val="00606800"/>
    <w:rsid w:val="0060777F"/>
    <w:rsid w:val="006137CE"/>
    <w:rsid w:val="00615517"/>
    <w:rsid w:val="006200F0"/>
    <w:rsid w:val="00621A7A"/>
    <w:rsid w:val="00621DD8"/>
    <w:rsid w:val="00624F4D"/>
    <w:rsid w:val="00625DA1"/>
    <w:rsid w:val="00626645"/>
    <w:rsid w:val="006274DF"/>
    <w:rsid w:val="006315F8"/>
    <w:rsid w:val="0063517C"/>
    <w:rsid w:val="0063644A"/>
    <w:rsid w:val="006515DA"/>
    <w:rsid w:val="006549DF"/>
    <w:rsid w:val="00654FCC"/>
    <w:rsid w:val="00660C4D"/>
    <w:rsid w:val="00671BFF"/>
    <w:rsid w:val="0067349F"/>
    <w:rsid w:val="00674991"/>
    <w:rsid w:val="006801F9"/>
    <w:rsid w:val="006826AB"/>
    <w:rsid w:val="00683D67"/>
    <w:rsid w:val="00683E52"/>
    <w:rsid w:val="00695586"/>
    <w:rsid w:val="00696DE5"/>
    <w:rsid w:val="006A235B"/>
    <w:rsid w:val="006A68DC"/>
    <w:rsid w:val="006B5336"/>
    <w:rsid w:val="006B66BD"/>
    <w:rsid w:val="006B7FCF"/>
    <w:rsid w:val="006C4AE2"/>
    <w:rsid w:val="006C626E"/>
    <w:rsid w:val="006D1FF7"/>
    <w:rsid w:val="006D5F94"/>
    <w:rsid w:val="006E15C2"/>
    <w:rsid w:val="006E519A"/>
    <w:rsid w:val="006E589B"/>
    <w:rsid w:val="006F014E"/>
    <w:rsid w:val="006F22E0"/>
    <w:rsid w:val="006F4505"/>
    <w:rsid w:val="006F4747"/>
    <w:rsid w:val="006F589C"/>
    <w:rsid w:val="00700FF2"/>
    <w:rsid w:val="0070150F"/>
    <w:rsid w:val="0070208F"/>
    <w:rsid w:val="00703BA0"/>
    <w:rsid w:val="0070494F"/>
    <w:rsid w:val="00710AD4"/>
    <w:rsid w:val="00725BE7"/>
    <w:rsid w:val="0072681A"/>
    <w:rsid w:val="00731779"/>
    <w:rsid w:val="00734AAF"/>
    <w:rsid w:val="00740737"/>
    <w:rsid w:val="00740C93"/>
    <w:rsid w:val="00742607"/>
    <w:rsid w:val="00750601"/>
    <w:rsid w:val="00752FD5"/>
    <w:rsid w:val="0076163E"/>
    <w:rsid w:val="00761D20"/>
    <w:rsid w:val="00763E31"/>
    <w:rsid w:val="00764631"/>
    <w:rsid w:val="00765F34"/>
    <w:rsid w:val="00776890"/>
    <w:rsid w:val="0078022A"/>
    <w:rsid w:val="00781C81"/>
    <w:rsid w:val="0078436A"/>
    <w:rsid w:val="007A0893"/>
    <w:rsid w:val="007A2D78"/>
    <w:rsid w:val="007A76FD"/>
    <w:rsid w:val="007B1A3A"/>
    <w:rsid w:val="007B1DDD"/>
    <w:rsid w:val="007B452B"/>
    <w:rsid w:val="007B7536"/>
    <w:rsid w:val="007C33B6"/>
    <w:rsid w:val="007C4A8E"/>
    <w:rsid w:val="007C527D"/>
    <w:rsid w:val="007D1168"/>
    <w:rsid w:val="007D70F6"/>
    <w:rsid w:val="007D7689"/>
    <w:rsid w:val="007E5B65"/>
    <w:rsid w:val="007E65F4"/>
    <w:rsid w:val="007F0D88"/>
    <w:rsid w:val="007F7A55"/>
    <w:rsid w:val="0080138C"/>
    <w:rsid w:val="00801ED9"/>
    <w:rsid w:val="008040B2"/>
    <w:rsid w:val="00805125"/>
    <w:rsid w:val="00806359"/>
    <w:rsid w:val="008158AF"/>
    <w:rsid w:val="008163EC"/>
    <w:rsid w:val="00816743"/>
    <w:rsid w:val="00822321"/>
    <w:rsid w:val="00824850"/>
    <w:rsid w:val="008258A8"/>
    <w:rsid w:val="00825B79"/>
    <w:rsid w:val="00835E88"/>
    <w:rsid w:val="00841F6A"/>
    <w:rsid w:val="0084406D"/>
    <w:rsid w:val="00844DAA"/>
    <w:rsid w:val="00846619"/>
    <w:rsid w:val="00851CD0"/>
    <w:rsid w:val="008537B8"/>
    <w:rsid w:val="0085727C"/>
    <w:rsid w:val="00860CDB"/>
    <w:rsid w:val="00864210"/>
    <w:rsid w:val="008662AD"/>
    <w:rsid w:val="00870202"/>
    <w:rsid w:val="008750DA"/>
    <w:rsid w:val="00875D0E"/>
    <w:rsid w:val="00876142"/>
    <w:rsid w:val="008766DB"/>
    <w:rsid w:val="008821C8"/>
    <w:rsid w:val="008830F7"/>
    <w:rsid w:val="00885996"/>
    <w:rsid w:val="00885BEB"/>
    <w:rsid w:val="00885D64"/>
    <w:rsid w:val="00886FC5"/>
    <w:rsid w:val="0089454C"/>
    <w:rsid w:val="0089544E"/>
    <w:rsid w:val="008A1B40"/>
    <w:rsid w:val="008A5009"/>
    <w:rsid w:val="008C511B"/>
    <w:rsid w:val="008C7406"/>
    <w:rsid w:val="008D05CD"/>
    <w:rsid w:val="008D633E"/>
    <w:rsid w:val="008E413C"/>
    <w:rsid w:val="008F147A"/>
    <w:rsid w:val="00901CE8"/>
    <w:rsid w:val="00910096"/>
    <w:rsid w:val="00910B5A"/>
    <w:rsid w:val="00921839"/>
    <w:rsid w:val="009308E1"/>
    <w:rsid w:val="0093237D"/>
    <w:rsid w:val="00933A3C"/>
    <w:rsid w:val="00936981"/>
    <w:rsid w:val="0093717D"/>
    <w:rsid w:val="00943CA2"/>
    <w:rsid w:val="0094437E"/>
    <w:rsid w:val="00944D1F"/>
    <w:rsid w:val="00952690"/>
    <w:rsid w:val="009531EC"/>
    <w:rsid w:val="0095764B"/>
    <w:rsid w:val="0096120E"/>
    <w:rsid w:val="00971136"/>
    <w:rsid w:val="00975975"/>
    <w:rsid w:val="009818BE"/>
    <w:rsid w:val="00983EF2"/>
    <w:rsid w:val="00990F48"/>
    <w:rsid w:val="009920E7"/>
    <w:rsid w:val="00993B50"/>
    <w:rsid w:val="0099669B"/>
    <w:rsid w:val="009A2D0F"/>
    <w:rsid w:val="009A7F31"/>
    <w:rsid w:val="009B1523"/>
    <w:rsid w:val="009C0C34"/>
    <w:rsid w:val="009C1A63"/>
    <w:rsid w:val="009C7A2D"/>
    <w:rsid w:val="009D0294"/>
    <w:rsid w:val="009D2EF6"/>
    <w:rsid w:val="009D4A4A"/>
    <w:rsid w:val="009D6AE1"/>
    <w:rsid w:val="009D7A56"/>
    <w:rsid w:val="009E117E"/>
    <w:rsid w:val="009E3710"/>
    <w:rsid w:val="009F2350"/>
    <w:rsid w:val="009F2421"/>
    <w:rsid w:val="009F270A"/>
    <w:rsid w:val="009F44C4"/>
    <w:rsid w:val="009F58CF"/>
    <w:rsid w:val="00A03758"/>
    <w:rsid w:val="00A06D8A"/>
    <w:rsid w:val="00A132AC"/>
    <w:rsid w:val="00A32D50"/>
    <w:rsid w:val="00A402E8"/>
    <w:rsid w:val="00A44D10"/>
    <w:rsid w:val="00A45752"/>
    <w:rsid w:val="00A468C6"/>
    <w:rsid w:val="00A51E4A"/>
    <w:rsid w:val="00A6718B"/>
    <w:rsid w:val="00A7098A"/>
    <w:rsid w:val="00A71383"/>
    <w:rsid w:val="00A72F7D"/>
    <w:rsid w:val="00A82384"/>
    <w:rsid w:val="00A83090"/>
    <w:rsid w:val="00A925E6"/>
    <w:rsid w:val="00A94EF3"/>
    <w:rsid w:val="00A964AC"/>
    <w:rsid w:val="00AA028E"/>
    <w:rsid w:val="00AA034F"/>
    <w:rsid w:val="00AA2501"/>
    <w:rsid w:val="00AB16B3"/>
    <w:rsid w:val="00AB2205"/>
    <w:rsid w:val="00AB3C0C"/>
    <w:rsid w:val="00AC28F2"/>
    <w:rsid w:val="00AC523E"/>
    <w:rsid w:val="00AC63C4"/>
    <w:rsid w:val="00AC6B4B"/>
    <w:rsid w:val="00AE5E8B"/>
    <w:rsid w:val="00AE73F4"/>
    <w:rsid w:val="00AF397F"/>
    <w:rsid w:val="00AF7583"/>
    <w:rsid w:val="00B01143"/>
    <w:rsid w:val="00B05270"/>
    <w:rsid w:val="00B102E6"/>
    <w:rsid w:val="00B15B90"/>
    <w:rsid w:val="00B20B80"/>
    <w:rsid w:val="00B3454C"/>
    <w:rsid w:val="00B4040E"/>
    <w:rsid w:val="00B41ABB"/>
    <w:rsid w:val="00B427F5"/>
    <w:rsid w:val="00B45B97"/>
    <w:rsid w:val="00B5208D"/>
    <w:rsid w:val="00B5346C"/>
    <w:rsid w:val="00B54E72"/>
    <w:rsid w:val="00B615B1"/>
    <w:rsid w:val="00B73BE0"/>
    <w:rsid w:val="00B769B2"/>
    <w:rsid w:val="00B80870"/>
    <w:rsid w:val="00B85F59"/>
    <w:rsid w:val="00B86152"/>
    <w:rsid w:val="00B862E4"/>
    <w:rsid w:val="00B952A8"/>
    <w:rsid w:val="00B95892"/>
    <w:rsid w:val="00BA58A2"/>
    <w:rsid w:val="00BA59C9"/>
    <w:rsid w:val="00BA5B6B"/>
    <w:rsid w:val="00BC1D8A"/>
    <w:rsid w:val="00BC3921"/>
    <w:rsid w:val="00BC4B9E"/>
    <w:rsid w:val="00BC6FFF"/>
    <w:rsid w:val="00BE36D1"/>
    <w:rsid w:val="00BE4042"/>
    <w:rsid w:val="00BE4D58"/>
    <w:rsid w:val="00BF2877"/>
    <w:rsid w:val="00BF5C21"/>
    <w:rsid w:val="00C026BB"/>
    <w:rsid w:val="00C02DCB"/>
    <w:rsid w:val="00C11140"/>
    <w:rsid w:val="00C113B4"/>
    <w:rsid w:val="00C13A17"/>
    <w:rsid w:val="00C14712"/>
    <w:rsid w:val="00C17FD1"/>
    <w:rsid w:val="00C2117E"/>
    <w:rsid w:val="00C217E5"/>
    <w:rsid w:val="00C22422"/>
    <w:rsid w:val="00C2491B"/>
    <w:rsid w:val="00C252FB"/>
    <w:rsid w:val="00C27035"/>
    <w:rsid w:val="00C35107"/>
    <w:rsid w:val="00C4247B"/>
    <w:rsid w:val="00C42554"/>
    <w:rsid w:val="00C45838"/>
    <w:rsid w:val="00C540D2"/>
    <w:rsid w:val="00C6307E"/>
    <w:rsid w:val="00C64C8E"/>
    <w:rsid w:val="00C6741D"/>
    <w:rsid w:val="00C733BA"/>
    <w:rsid w:val="00C77C29"/>
    <w:rsid w:val="00C821E9"/>
    <w:rsid w:val="00C8791A"/>
    <w:rsid w:val="00C87A0B"/>
    <w:rsid w:val="00C90EE3"/>
    <w:rsid w:val="00C9697A"/>
    <w:rsid w:val="00C97A50"/>
    <w:rsid w:val="00CA20BC"/>
    <w:rsid w:val="00CA7817"/>
    <w:rsid w:val="00CB24F1"/>
    <w:rsid w:val="00CB580E"/>
    <w:rsid w:val="00CC5704"/>
    <w:rsid w:val="00CC637B"/>
    <w:rsid w:val="00CC6CA3"/>
    <w:rsid w:val="00CD02C7"/>
    <w:rsid w:val="00CD279A"/>
    <w:rsid w:val="00CE39E9"/>
    <w:rsid w:val="00CE71B5"/>
    <w:rsid w:val="00CF0845"/>
    <w:rsid w:val="00CF1F91"/>
    <w:rsid w:val="00D03009"/>
    <w:rsid w:val="00D03176"/>
    <w:rsid w:val="00D046FB"/>
    <w:rsid w:val="00D0484B"/>
    <w:rsid w:val="00D04B4C"/>
    <w:rsid w:val="00D06B84"/>
    <w:rsid w:val="00D07DED"/>
    <w:rsid w:val="00D11379"/>
    <w:rsid w:val="00D13F46"/>
    <w:rsid w:val="00D40FF8"/>
    <w:rsid w:val="00D5794A"/>
    <w:rsid w:val="00D64681"/>
    <w:rsid w:val="00D6703C"/>
    <w:rsid w:val="00D71C6E"/>
    <w:rsid w:val="00D7342E"/>
    <w:rsid w:val="00D756DB"/>
    <w:rsid w:val="00D77483"/>
    <w:rsid w:val="00D804ED"/>
    <w:rsid w:val="00D80CD2"/>
    <w:rsid w:val="00D81997"/>
    <w:rsid w:val="00D83D39"/>
    <w:rsid w:val="00D84FCE"/>
    <w:rsid w:val="00D921E9"/>
    <w:rsid w:val="00D95803"/>
    <w:rsid w:val="00D975EC"/>
    <w:rsid w:val="00D9773B"/>
    <w:rsid w:val="00D97A88"/>
    <w:rsid w:val="00D97BB2"/>
    <w:rsid w:val="00DA4D4B"/>
    <w:rsid w:val="00DA5BF6"/>
    <w:rsid w:val="00DB30EF"/>
    <w:rsid w:val="00DB58B1"/>
    <w:rsid w:val="00DC09BB"/>
    <w:rsid w:val="00DD01DD"/>
    <w:rsid w:val="00DD2414"/>
    <w:rsid w:val="00DD5050"/>
    <w:rsid w:val="00DE1596"/>
    <w:rsid w:val="00DE5E97"/>
    <w:rsid w:val="00DE6518"/>
    <w:rsid w:val="00DE65A4"/>
    <w:rsid w:val="00DF365E"/>
    <w:rsid w:val="00DF5B3F"/>
    <w:rsid w:val="00DF7BAB"/>
    <w:rsid w:val="00E01350"/>
    <w:rsid w:val="00E042DF"/>
    <w:rsid w:val="00E11FF8"/>
    <w:rsid w:val="00E17875"/>
    <w:rsid w:val="00E232C5"/>
    <w:rsid w:val="00E25388"/>
    <w:rsid w:val="00E26385"/>
    <w:rsid w:val="00E27002"/>
    <w:rsid w:val="00E3687D"/>
    <w:rsid w:val="00E36E31"/>
    <w:rsid w:val="00E376F2"/>
    <w:rsid w:val="00E37748"/>
    <w:rsid w:val="00E42803"/>
    <w:rsid w:val="00E433DA"/>
    <w:rsid w:val="00E461ED"/>
    <w:rsid w:val="00E500BF"/>
    <w:rsid w:val="00E55270"/>
    <w:rsid w:val="00E5757C"/>
    <w:rsid w:val="00E63F34"/>
    <w:rsid w:val="00E673DF"/>
    <w:rsid w:val="00E67DE1"/>
    <w:rsid w:val="00E736CA"/>
    <w:rsid w:val="00E737F7"/>
    <w:rsid w:val="00E73ED9"/>
    <w:rsid w:val="00E8239E"/>
    <w:rsid w:val="00E8380F"/>
    <w:rsid w:val="00E87716"/>
    <w:rsid w:val="00E90C70"/>
    <w:rsid w:val="00E90CD5"/>
    <w:rsid w:val="00E9124C"/>
    <w:rsid w:val="00E9201E"/>
    <w:rsid w:val="00E93867"/>
    <w:rsid w:val="00E974BE"/>
    <w:rsid w:val="00EA50E2"/>
    <w:rsid w:val="00EA666B"/>
    <w:rsid w:val="00EA73F3"/>
    <w:rsid w:val="00EA77AE"/>
    <w:rsid w:val="00EB0C4F"/>
    <w:rsid w:val="00EB22A0"/>
    <w:rsid w:val="00EB5AD8"/>
    <w:rsid w:val="00EC501C"/>
    <w:rsid w:val="00EC6678"/>
    <w:rsid w:val="00EC66D0"/>
    <w:rsid w:val="00ED367A"/>
    <w:rsid w:val="00EE1703"/>
    <w:rsid w:val="00EE3685"/>
    <w:rsid w:val="00EE4168"/>
    <w:rsid w:val="00EF682B"/>
    <w:rsid w:val="00F0049E"/>
    <w:rsid w:val="00F02CBB"/>
    <w:rsid w:val="00F06625"/>
    <w:rsid w:val="00F130A7"/>
    <w:rsid w:val="00F14D0F"/>
    <w:rsid w:val="00F203E7"/>
    <w:rsid w:val="00F21AFD"/>
    <w:rsid w:val="00F22A10"/>
    <w:rsid w:val="00F275A7"/>
    <w:rsid w:val="00F36686"/>
    <w:rsid w:val="00F41438"/>
    <w:rsid w:val="00F43C6A"/>
    <w:rsid w:val="00F448B3"/>
    <w:rsid w:val="00F51058"/>
    <w:rsid w:val="00F5744C"/>
    <w:rsid w:val="00F629BE"/>
    <w:rsid w:val="00F75FEC"/>
    <w:rsid w:val="00F76C9E"/>
    <w:rsid w:val="00F805E2"/>
    <w:rsid w:val="00F82538"/>
    <w:rsid w:val="00F907E1"/>
    <w:rsid w:val="00F934A2"/>
    <w:rsid w:val="00F94485"/>
    <w:rsid w:val="00F9466A"/>
    <w:rsid w:val="00F95E1F"/>
    <w:rsid w:val="00FA172B"/>
    <w:rsid w:val="00FA2D4A"/>
    <w:rsid w:val="00FA41EA"/>
    <w:rsid w:val="00FA4776"/>
    <w:rsid w:val="00FA51E6"/>
    <w:rsid w:val="00FA6733"/>
    <w:rsid w:val="00FA6784"/>
    <w:rsid w:val="00FA72BA"/>
    <w:rsid w:val="00FA73CA"/>
    <w:rsid w:val="00FB2A9D"/>
    <w:rsid w:val="00FB3D93"/>
    <w:rsid w:val="00FB4825"/>
    <w:rsid w:val="00FC259B"/>
    <w:rsid w:val="00FC73BC"/>
    <w:rsid w:val="00FD0656"/>
    <w:rsid w:val="00FD65F5"/>
    <w:rsid w:val="00FE12F7"/>
    <w:rsid w:val="00FE32D6"/>
    <w:rsid w:val="00FF12B0"/>
    <w:rsid w:val="00FF20ED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111"/>
  </w:style>
  <w:style w:type="paragraph" w:styleId="Titolo1">
    <w:name w:val="heading 1"/>
    <w:basedOn w:val="Normale"/>
    <w:next w:val="Normale"/>
    <w:link w:val="Titolo1Carattere"/>
    <w:uiPriority w:val="9"/>
    <w:qFormat/>
    <w:rsid w:val="00DC09B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C09B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09B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C09B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C09B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DC09B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9B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9B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9B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D20"/>
  </w:style>
  <w:style w:type="paragraph" w:styleId="Pidipagina">
    <w:name w:val="footer"/>
    <w:basedOn w:val="Normale"/>
    <w:link w:val="PidipaginaCarattere"/>
    <w:uiPriority w:val="99"/>
    <w:unhideWhenUsed/>
    <w:rsid w:val="0076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D20"/>
  </w:style>
  <w:style w:type="character" w:customStyle="1" w:styleId="Titolo1Carattere">
    <w:name w:val="Titolo 1 Carattere"/>
    <w:basedOn w:val="Carpredefinitoparagrafo"/>
    <w:link w:val="Titolo1"/>
    <w:uiPriority w:val="9"/>
    <w:rsid w:val="00DC0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0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C0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C09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C09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C09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9B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9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eWeb">
    <w:name w:val="Normal (Web)"/>
    <w:basedOn w:val="Normale"/>
    <w:uiPriority w:val="99"/>
    <w:unhideWhenUsed/>
    <w:rsid w:val="00DC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90C70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90C70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E90C70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unhideWhenUsed/>
    <w:rsid w:val="00E90C70"/>
    <w:pPr>
      <w:spacing w:after="100"/>
      <w:ind w:left="660"/>
    </w:pPr>
  </w:style>
  <w:style w:type="character" w:styleId="Collegamentoipertestuale">
    <w:name w:val="Hyperlink"/>
    <w:basedOn w:val="Carpredefinitoparagrafo"/>
    <w:uiPriority w:val="99"/>
    <w:unhideWhenUsed/>
    <w:rsid w:val="00E90C70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0C70"/>
    <w:pPr>
      <w:numPr>
        <w:numId w:val="0"/>
      </w:numPr>
      <w:outlineLvl w:val="9"/>
    </w:pPr>
    <w:rPr>
      <w:lang w:eastAsia="it-IT"/>
    </w:rPr>
  </w:style>
  <w:style w:type="table" w:styleId="Grigliatabella">
    <w:name w:val="Table Grid"/>
    <w:basedOn w:val="Tabellanormale"/>
    <w:uiPriority w:val="39"/>
    <w:rsid w:val="00592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4-colore111">
    <w:name w:val="Tabella griglia 4 - colore 111"/>
    <w:basedOn w:val="Tabellanormale"/>
    <w:uiPriority w:val="49"/>
    <w:rsid w:val="00FA47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essunaspaziatura">
    <w:name w:val="No Spacing"/>
    <w:uiPriority w:val="1"/>
    <w:qFormat/>
    <w:rsid w:val="00F43C6A"/>
    <w:pPr>
      <w:widowControl w:val="0"/>
      <w:spacing w:after="0" w:line="240" w:lineRule="auto"/>
      <w:ind w:left="454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621A7A"/>
    <w:pPr>
      <w:ind w:left="720"/>
      <w:contextualSpacing/>
    </w:pPr>
  </w:style>
  <w:style w:type="character" w:customStyle="1" w:styleId="Elencoacolori-Colore1Carattere">
    <w:name w:val="Elenco a colori - Colore 1 Carattere"/>
    <w:aliases w:val="Elenco num ARGEA Carattere,List Paragraph1 Carattere,Elenco Bullet point Carattere,Reference list Carattere"/>
    <w:link w:val="Elencoacolori-Colore1"/>
    <w:uiPriority w:val="34"/>
    <w:rsid w:val="00BF2877"/>
    <w:rPr>
      <w:rFonts w:ascii="Georgia" w:eastAsia="Times New Roman" w:hAnsi="Georgia" w:cs="Times New Roman"/>
      <w:sz w:val="20"/>
    </w:rPr>
  </w:style>
  <w:style w:type="paragraph" w:customStyle="1" w:styleId="Corpodeltesto1">
    <w:name w:val="Corpo del testo1"/>
    <w:basedOn w:val="Normale"/>
    <w:link w:val="CorpodeltestoChar"/>
    <w:qFormat/>
    <w:rsid w:val="00BF2877"/>
    <w:pPr>
      <w:spacing w:before="120" w:after="0" w:line="240" w:lineRule="auto"/>
      <w:jc w:val="both"/>
    </w:pPr>
    <w:rPr>
      <w:rFonts w:ascii="Arial" w:eastAsia="Arial" w:hAnsi="Arial" w:cs="Times New Roman"/>
      <w:noProof/>
      <w:sz w:val="20"/>
      <w:szCs w:val="21"/>
      <w:shd w:val="clear" w:color="auto" w:fill="FFFFFF"/>
      <w:lang w:eastAsia="it-IT"/>
    </w:rPr>
  </w:style>
  <w:style w:type="character" w:customStyle="1" w:styleId="CorpodeltestoChar">
    <w:name w:val="Corpo del testo Char"/>
    <w:link w:val="Corpodeltesto1"/>
    <w:rsid w:val="00BF2877"/>
    <w:rPr>
      <w:rFonts w:ascii="Arial" w:eastAsia="Arial" w:hAnsi="Arial" w:cs="Times New Roman"/>
      <w:noProof/>
      <w:sz w:val="20"/>
      <w:szCs w:val="21"/>
      <w:lang w:eastAsia="it-IT"/>
    </w:rPr>
  </w:style>
  <w:style w:type="table" w:styleId="Elencoacolori-Colore1">
    <w:name w:val="Colorful List Accent 1"/>
    <w:basedOn w:val="Tabellanormale"/>
    <w:link w:val="Elencoacolori-Colore1Carattere"/>
    <w:uiPriority w:val="34"/>
    <w:semiHidden/>
    <w:unhideWhenUsed/>
    <w:rsid w:val="00BF2877"/>
    <w:pPr>
      <w:spacing w:after="0" w:line="240" w:lineRule="auto"/>
    </w:pPr>
    <w:rPr>
      <w:rFonts w:ascii="Georgia" w:eastAsia="Times New Roman" w:hAnsi="Georgia" w:cs="Times New Roman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Paragraph">
    <w:name w:val="Table Paragraph"/>
    <w:basedOn w:val="Normale"/>
    <w:uiPriority w:val="1"/>
    <w:qFormat/>
    <w:rsid w:val="008750DA"/>
    <w:pPr>
      <w:widowControl w:val="0"/>
      <w:spacing w:after="0" w:line="240" w:lineRule="auto"/>
      <w:ind w:left="103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8750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750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750DA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981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67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811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C934-2E01-4282-8B6A-DA96037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Proprietario</cp:lastModifiedBy>
  <cp:revision>8</cp:revision>
  <dcterms:created xsi:type="dcterms:W3CDTF">2019-10-24T10:17:00Z</dcterms:created>
  <dcterms:modified xsi:type="dcterms:W3CDTF">2019-11-17T10:25:00Z</dcterms:modified>
</cp:coreProperties>
</file>