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</w:pPr>
      <w:r w:rsidRPr="00D03176"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  <w:t xml:space="preserve">PROGRAMMA </w:t>
      </w:r>
      <w:proofErr w:type="spellStart"/>
      <w:r w:rsidRPr="00D03176"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  <w:t>DI</w:t>
      </w:r>
      <w:proofErr w:type="spellEnd"/>
      <w:r w:rsidRPr="00D03176"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  <w:t xml:space="preserve"> SVILUPPO RURALE</w:t>
      </w:r>
    </w:p>
    <w:p w:rsidR="000D6FB0" w:rsidRPr="00D03176" w:rsidRDefault="000D6FB0" w:rsidP="000D6FB0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</w:pPr>
      <w:r w:rsidRPr="00D03176"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  <w:t>DELLA REGIONE CALABRIA 2014 - 2020</w:t>
      </w:r>
    </w:p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rPr>
          <w:rFonts w:ascii="Arial" w:hAnsi="Arial" w:cs="Arial"/>
        </w:rPr>
      </w:pPr>
    </w:p>
    <w:p w:rsidR="00835E88" w:rsidRDefault="00835E88" w:rsidP="00835E88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6B29">
        <w:rPr>
          <w:rFonts w:ascii="Arial" w:hAnsi="Arial" w:cs="Arial"/>
          <w:sz w:val="22"/>
          <w:szCs w:val="22"/>
          <w:u w:val="single"/>
        </w:rPr>
        <w:t>Disposizioni Attuative per il trattamento delle domande di sostegno intervento 2.1.1</w:t>
      </w:r>
    </w:p>
    <w:p w:rsidR="00835E88" w:rsidRDefault="00835E88" w:rsidP="00835E88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835E88" w:rsidRPr="00F30A7E" w:rsidRDefault="00835E88" w:rsidP="00835E88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Scheda di ingresso</w:t>
      </w:r>
    </w:p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/>
      </w:tblPr>
      <w:tblGrid>
        <w:gridCol w:w="2446"/>
        <w:gridCol w:w="7182"/>
      </w:tblGrid>
      <w:tr w:rsidR="000D6FB0" w:rsidRPr="00D03176" w:rsidTr="0070494F">
        <w:trPr>
          <w:trHeight w:val="583"/>
        </w:trPr>
        <w:tc>
          <w:tcPr>
            <w:tcW w:w="9628" w:type="dxa"/>
            <w:gridSpan w:val="2"/>
            <w:shd w:val="clear" w:color="auto" w:fill="5B9BD5" w:themeFill="accent1"/>
            <w:vAlign w:val="center"/>
          </w:tcPr>
          <w:p w:rsidR="000D6FB0" w:rsidRPr="00D03176" w:rsidRDefault="000D6FB0" w:rsidP="0070494F">
            <w:pPr>
              <w:spacing w:before="71" w:line="234" w:lineRule="exact"/>
              <w:jc w:val="center"/>
              <w:rPr>
                <w:rFonts w:ascii="Arial" w:eastAsia="Cambria" w:hAnsi="Arial" w:cs="Arial"/>
                <w:b/>
                <w:color w:val="FFFFFF" w:themeColor="background1"/>
              </w:rPr>
            </w:pPr>
            <w:r w:rsidRPr="00D03176">
              <w:rPr>
                <w:rFonts w:ascii="Arial" w:eastAsia="Cambria" w:hAnsi="Arial" w:cs="Arial"/>
                <w:b/>
                <w:color w:val="FFFFFF" w:themeColor="background1"/>
              </w:rPr>
              <w:t>Misura 2 – Servizi di consulenza, di sostituzione e di assistenza alla gestione delle aziende agricole</w:t>
            </w:r>
          </w:p>
        </w:tc>
      </w:tr>
      <w:tr w:rsidR="000D6FB0" w:rsidRPr="00D03176" w:rsidTr="0070494F">
        <w:trPr>
          <w:trHeight w:val="561"/>
        </w:trPr>
        <w:tc>
          <w:tcPr>
            <w:tcW w:w="2446" w:type="dxa"/>
            <w:vAlign w:val="center"/>
          </w:tcPr>
          <w:p w:rsidR="000D6FB0" w:rsidRPr="00D03176" w:rsidRDefault="000D6FB0" w:rsidP="0070494F">
            <w:pPr>
              <w:spacing w:before="71" w:line="234" w:lineRule="exact"/>
              <w:rPr>
                <w:rFonts w:ascii="Arial" w:eastAsia="Cambria" w:hAnsi="Arial" w:cs="Arial"/>
                <w:b/>
              </w:rPr>
            </w:pPr>
            <w:r w:rsidRPr="00D03176">
              <w:rPr>
                <w:rFonts w:ascii="Arial" w:eastAsia="Cambria" w:hAnsi="Arial" w:cs="Arial"/>
                <w:b/>
              </w:rPr>
              <w:t>Misura</w:t>
            </w:r>
          </w:p>
        </w:tc>
        <w:tc>
          <w:tcPr>
            <w:tcW w:w="7182" w:type="dxa"/>
            <w:vAlign w:val="center"/>
          </w:tcPr>
          <w:p w:rsidR="000D6FB0" w:rsidRPr="00D03176" w:rsidRDefault="000D6FB0" w:rsidP="0070494F">
            <w:pPr>
              <w:spacing w:before="71" w:line="234" w:lineRule="exact"/>
              <w:rPr>
                <w:rFonts w:ascii="Arial" w:eastAsia="Cambria" w:hAnsi="Arial" w:cs="Arial"/>
              </w:rPr>
            </w:pPr>
            <w:r w:rsidRPr="00D03176">
              <w:rPr>
                <w:rFonts w:ascii="Arial" w:eastAsia="Cambria" w:hAnsi="Arial" w:cs="Arial"/>
              </w:rPr>
              <w:t>Servizi di consulenza, di sostituzione e di assistenza alla gestione delle aziende agricole</w:t>
            </w:r>
          </w:p>
        </w:tc>
      </w:tr>
      <w:tr w:rsidR="000D6FB0" w:rsidRPr="00D03176" w:rsidTr="00196B29">
        <w:trPr>
          <w:trHeight w:val="793"/>
        </w:trPr>
        <w:tc>
          <w:tcPr>
            <w:tcW w:w="2446" w:type="dxa"/>
            <w:vAlign w:val="center"/>
          </w:tcPr>
          <w:p w:rsidR="000D6FB0" w:rsidRPr="00D03176" w:rsidRDefault="000D6FB0" w:rsidP="0070494F">
            <w:pPr>
              <w:spacing w:before="71" w:line="234" w:lineRule="exact"/>
              <w:jc w:val="center"/>
              <w:rPr>
                <w:rFonts w:ascii="Arial" w:eastAsia="Cambria" w:hAnsi="Arial" w:cs="Arial"/>
                <w:b/>
              </w:rPr>
            </w:pPr>
            <w:r w:rsidRPr="00D03176">
              <w:rPr>
                <w:rFonts w:ascii="Arial" w:eastAsia="Cambria" w:hAnsi="Arial" w:cs="Arial"/>
                <w:b/>
              </w:rPr>
              <w:t>Intervento</w:t>
            </w:r>
            <w:r w:rsidR="007B1DDD" w:rsidRPr="00D03176">
              <w:rPr>
                <w:rFonts w:ascii="Arial" w:eastAsia="Cambria" w:hAnsi="Arial" w:cs="Arial"/>
                <w:b/>
              </w:rPr>
              <w:t xml:space="preserve"> 2.1.1</w:t>
            </w:r>
          </w:p>
        </w:tc>
        <w:tc>
          <w:tcPr>
            <w:tcW w:w="7182" w:type="dxa"/>
            <w:vAlign w:val="center"/>
          </w:tcPr>
          <w:p w:rsidR="000D6FB0" w:rsidRPr="00D03176" w:rsidRDefault="000D6FB0" w:rsidP="0070494F">
            <w:pPr>
              <w:spacing w:before="71" w:line="234" w:lineRule="exact"/>
              <w:rPr>
                <w:rFonts w:ascii="Arial" w:eastAsia="Cambria" w:hAnsi="Arial" w:cs="Arial"/>
              </w:rPr>
            </w:pPr>
            <w:r w:rsidRPr="00D03176">
              <w:rPr>
                <w:rFonts w:ascii="Arial" w:eastAsia="Cambria" w:hAnsi="Arial" w:cs="Arial"/>
              </w:rPr>
              <w:t>Erogazione di servizi di consulenza alle aziende</w:t>
            </w:r>
          </w:p>
        </w:tc>
      </w:tr>
    </w:tbl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rPr>
          <w:rFonts w:ascii="Arial" w:hAnsi="Arial" w:cs="Arial"/>
        </w:rPr>
      </w:pPr>
    </w:p>
    <w:p w:rsidR="005573AA" w:rsidRPr="00D03176" w:rsidRDefault="005573AA" w:rsidP="000D6FB0">
      <w:pPr>
        <w:rPr>
          <w:rFonts w:ascii="Arial" w:hAnsi="Arial" w:cs="Arial"/>
        </w:rPr>
        <w:sectPr w:rsidR="005573AA" w:rsidRPr="00D03176" w:rsidSect="00326111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2361"/>
        <w:gridCol w:w="7493"/>
      </w:tblGrid>
      <w:tr w:rsidR="00D5794A" w:rsidRPr="00D03176" w:rsidTr="00835E8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D5794A" w:rsidRPr="00074278" w:rsidRDefault="00A51E4A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074278">
              <w:rPr>
                <w:rFonts w:ascii="Arial" w:hAnsi="Arial" w:cs="Arial"/>
                <w:b/>
              </w:rPr>
              <w:lastRenderedPageBreak/>
              <w:t>Scheda sintetica della consulenza</w:t>
            </w:r>
          </w:p>
        </w:tc>
      </w:tr>
      <w:tr w:rsidR="00D579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Destinatario della consulenza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4A" w:rsidRPr="00D03176" w:rsidRDefault="00D5794A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A51E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D03176">
              <w:rPr>
                <w:rFonts w:ascii="Arial" w:hAnsi="Arial" w:cs="Arial"/>
                <w:lang w:eastAsia="ar-SA"/>
              </w:rPr>
              <w:t xml:space="preserve">Sede (Comune) 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A51E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D03176">
              <w:rPr>
                <w:rFonts w:ascii="Arial" w:hAnsi="Arial" w:cs="Arial"/>
                <w:lang w:eastAsia="ar-SA"/>
              </w:rPr>
              <w:t>Indirizzo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A51E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D03176">
              <w:rPr>
                <w:rFonts w:ascii="Arial" w:hAnsi="Arial" w:cs="Arial"/>
                <w:lang w:eastAsia="ar-SA"/>
              </w:rPr>
              <w:t>CAP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A51E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A51E4A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Area della consulenza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F934A2" w:rsidRDefault="00F934A2" w:rsidP="00221AD2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F934A2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A</w:t>
            </w:r>
          </w:p>
        </w:tc>
      </w:tr>
      <w:tr w:rsidR="00E42803" w:rsidRPr="00D03176" w:rsidTr="00481158">
        <w:trPr>
          <w:trHeight w:val="826"/>
        </w:trPr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803" w:rsidRDefault="00E42803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Ambito tematico della consulenza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803" w:rsidRPr="006208CD" w:rsidRDefault="00AA12A2" w:rsidP="003237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C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</w:t>
            </w:r>
            <w:r w:rsidR="00F934A2" w:rsidRPr="006208C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)</w:t>
            </w:r>
            <w:r w:rsidR="00F934A2" w:rsidRPr="006208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237A3C" w:rsidRPr="006208CD">
              <w:rPr>
                <w:rFonts w:ascii="Arial" w:hAnsi="Arial" w:cs="Arial"/>
                <w:sz w:val="20"/>
                <w:szCs w:val="20"/>
                <w:lang w:eastAsia="ar-SA"/>
              </w:rPr>
              <w:t>–</w:t>
            </w:r>
            <w:r w:rsidR="00F934A2" w:rsidRPr="006208C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6208CD">
              <w:rPr>
                <w:rFonts w:ascii="Arial" w:hAnsi="Arial" w:cs="Arial"/>
                <w:sz w:val="20"/>
                <w:szCs w:val="20"/>
                <w:lang w:eastAsia="ar-SA"/>
              </w:rPr>
              <w:t>M</w:t>
            </w:r>
            <w:r w:rsidRPr="00AA12A2">
              <w:rPr>
                <w:rFonts w:ascii="Arial" w:hAnsi="Arial" w:cs="Arial"/>
                <w:sz w:val="20"/>
                <w:szCs w:val="20"/>
              </w:rPr>
              <w:t xml:space="preserve">isure a livello aziendale previste nel PSR Calabria 2014-2020 nell’ambito della FA 2A e 2B volte allo start up, all’ammodernamento dell’azienda, al perseguimento della competitività ed al posizionamento sui mercati (in questi due casi l’attività di consulenza non deve riguardare la redazione del business </w:t>
            </w:r>
            <w:proofErr w:type="spellStart"/>
            <w:r w:rsidRPr="00AA12A2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AA12A2">
              <w:rPr>
                <w:rFonts w:ascii="Arial" w:hAnsi="Arial" w:cs="Arial"/>
                <w:sz w:val="20"/>
                <w:szCs w:val="20"/>
              </w:rPr>
              <w:t xml:space="preserve"> per l’accesso al sostegno del PSR); della FA 3A volti all’integrazione di filiera, allo sviluppo della filiera corta, alla diffusione di regimi di qualità </w:t>
            </w:r>
          </w:p>
        </w:tc>
      </w:tr>
      <w:tr w:rsidR="00E42803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803" w:rsidRDefault="00E42803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N. ore di consulenza previste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803" w:rsidRPr="00F934A2" w:rsidRDefault="00481158" w:rsidP="00053307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 w:rsidRPr="00053307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1</w:t>
            </w:r>
            <w:r w:rsidR="00053307" w:rsidRPr="00053307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7</w:t>
            </w:r>
          </w:p>
        </w:tc>
      </w:tr>
    </w:tbl>
    <w:p w:rsidR="000F4DCE" w:rsidRDefault="000F4DCE" w:rsidP="00D5794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9854"/>
      </w:tblGrid>
      <w:tr w:rsidR="00D5794A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D5794A" w:rsidRPr="00074278" w:rsidRDefault="00D5794A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074278">
              <w:rPr>
                <w:rFonts w:ascii="Arial" w:hAnsi="Arial" w:cs="Arial"/>
              </w:rPr>
              <w:br w:type="page"/>
            </w:r>
            <w:r w:rsidRPr="00074278">
              <w:rPr>
                <w:rFonts w:ascii="Arial" w:hAnsi="Arial" w:cs="Arial"/>
                <w:b/>
              </w:rPr>
              <w:t>Desc</w:t>
            </w:r>
            <w:r w:rsidR="00E42803" w:rsidRPr="00074278">
              <w:rPr>
                <w:rFonts w:ascii="Arial" w:hAnsi="Arial" w:cs="Arial"/>
                <w:b/>
              </w:rPr>
              <w:t>rizione della situazione iniziale del destinatario e del fabbisogno specifico per il quale è richiesta la consulenza</w:t>
            </w:r>
          </w:p>
        </w:tc>
      </w:tr>
      <w:tr w:rsidR="00D5794A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3DE" w:rsidRPr="007A795B" w:rsidRDefault="004E43DE" w:rsidP="00765099">
            <w:p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4E43DE">
              <w:rPr>
                <w:rFonts w:ascii="Arial" w:hAnsi="Arial" w:cs="Arial"/>
                <w:lang w:eastAsia="ar-SA"/>
              </w:rPr>
              <w:t xml:space="preserve">La necessità di competere in un mercato globale, l’ampliamento normativo entro cui operare e </w:t>
            </w:r>
            <w:r w:rsidRPr="00765099">
              <w:rPr>
                <w:rFonts w:ascii="Arial" w:hAnsi="Arial" w:cs="Arial"/>
                <w:lang w:eastAsia="ar-SA"/>
              </w:rPr>
              <w:t>l’obbligo di adeguare la produzione a standard definiti da obblighi normativi e/o a partecipazione volontaria, ridefinisce il quadro entro cui l’imprenditore agricolo si muove nell’ organizzazione del processo produttivo.</w:t>
            </w:r>
            <w:r w:rsidR="007A795B">
              <w:rPr>
                <w:rFonts w:ascii="Arial" w:hAnsi="Arial" w:cs="Arial"/>
                <w:lang w:eastAsia="ar-SA"/>
              </w:rPr>
              <w:t xml:space="preserve"> </w:t>
            </w:r>
            <w:r w:rsidR="00432384" w:rsidRPr="00765099">
              <w:rPr>
                <w:rFonts w:ascii="Arial" w:hAnsi="Arial" w:cs="Arial"/>
                <w:lang w:eastAsia="ar-SA"/>
              </w:rPr>
              <w:t>In tale contesto, l</w:t>
            </w:r>
            <w:r w:rsidR="00481158" w:rsidRPr="00765099">
              <w:rPr>
                <w:rFonts w:ascii="Arial" w:hAnsi="Arial" w:cs="Arial"/>
                <w:lang w:eastAsia="ar-SA"/>
              </w:rPr>
              <w:t xml:space="preserve">’azienda </w:t>
            </w:r>
            <w:r w:rsidR="00432384" w:rsidRPr="00765099">
              <w:rPr>
                <w:rFonts w:ascii="Arial" w:hAnsi="Arial" w:cs="Arial"/>
                <w:lang w:eastAsia="ar-SA"/>
              </w:rPr>
              <w:t xml:space="preserve">in esame </w:t>
            </w:r>
            <w:r w:rsidR="00217CF8" w:rsidRPr="00765099">
              <w:rPr>
                <w:rFonts w:ascii="Arial" w:hAnsi="Arial" w:cs="Arial"/>
                <w:lang w:eastAsia="ar-SA"/>
              </w:rPr>
              <w:t xml:space="preserve">presenta </w:t>
            </w:r>
            <w:r w:rsidR="00656457" w:rsidRPr="00765099">
              <w:rPr>
                <w:rFonts w:ascii="Arial" w:hAnsi="Arial" w:cs="Arial"/>
                <w:lang w:eastAsia="ar-SA"/>
              </w:rPr>
              <w:t xml:space="preserve">delle criticità </w:t>
            </w:r>
            <w:r w:rsidRPr="00765099">
              <w:rPr>
                <w:rFonts w:ascii="Arial" w:hAnsi="Arial" w:cs="Arial"/>
                <w:lang w:eastAsia="ar-SA"/>
              </w:rPr>
              <w:t>circa la</w:t>
            </w:r>
            <w:r w:rsidR="00656457" w:rsidRPr="00765099">
              <w:rPr>
                <w:rFonts w:ascii="Arial" w:hAnsi="Arial" w:cs="Arial"/>
                <w:lang w:eastAsia="ar-SA"/>
              </w:rPr>
              <w:t xml:space="preserve"> gestione economica dei fattori di produzione</w:t>
            </w:r>
            <w:r w:rsidRPr="00765099">
              <w:rPr>
                <w:rFonts w:ascii="Arial" w:hAnsi="Arial" w:cs="Arial"/>
                <w:lang w:eastAsia="ar-SA"/>
              </w:rPr>
              <w:t>.</w:t>
            </w:r>
            <w:r w:rsidR="007A795B">
              <w:rPr>
                <w:rFonts w:ascii="Arial" w:hAnsi="Arial" w:cs="Arial"/>
                <w:lang w:eastAsia="ar-SA"/>
              </w:rPr>
              <w:t xml:space="preserve"> </w:t>
            </w:r>
            <w:r w:rsidR="00217CF8" w:rsidRPr="00765099">
              <w:rPr>
                <w:rFonts w:ascii="Arial" w:hAnsi="Arial" w:cs="Arial"/>
                <w:b/>
                <w:lang w:eastAsia="ar-SA"/>
              </w:rPr>
              <w:t xml:space="preserve">Si rende necessario, pertanto, un intervento mirato di consulenza finalizzata </w:t>
            </w:r>
            <w:r w:rsidRPr="00765099">
              <w:rPr>
                <w:rFonts w:ascii="Arial" w:hAnsi="Arial" w:cs="Arial"/>
                <w:b/>
                <w:lang w:eastAsia="ar-SA"/>
              </w:rPr>
              <w:t>al superamento dei punti critici, allo sviluppo di opportunità, anche tramite il ricorso alle misure del PSR.</w:t>
            </w:r>
          </w:p>
          <w:p w:rsidR="00962497" w:rsidRPr="00962497" w:rsidRDefault="00962497" w:rsidP="00765099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lang w:eastAsia="it-IT"/>
              </w:rPr>
              <w:t>Il Programma di Sviluppo Rurale –PSR- è lo strumento attuativo delle politiche di sviluppo delle aree rurali che l’Unione Europea propone e cofinanzia.</w:t>
            </w:r>
          </w:p>
          <w:p w:rsidR="00962497" w:rsidRPr="00962497" w:rsidRDefault="00962497" w:rsidP="00765099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lang w:eastAsia="it-IT"/>
              </w:rPr>
              <w:t xml:space="preserve">In </w:t>
            </w:r>
            <w:r w:rsidRPr="00962497">
              <w:rPr>
                <w:rFonts w:ascii="Arial" w:hAnsi="Arial" w:cs="Arial"/>
                <w:lang w:eastAsia="ar-SA"/>
              </w:rPr>
              <w:t xml:space="preserve">particolare, il PSR </w:t>
            </w:r>
            <w:r w:rsidR="00765099">
              <w:rPr>
                <w:rFonts w:ascii="Arial" w:hAnsi="Arial" w:cs="Arial"/>
                <w:lang w:eastAsia="ar-SA"/>
              </w:rPr>
              <w:t>Calabria</w:t>
            </w:r>
            <w:r w:rsidRPr="00962497">
              <w:rPr>
                <w:rFonts w:ascii="Arial" w:hAnsi="Arial" w:cs="Arial"/>
                <w:lang w:eastAsia="ar-SA"/>
              </w:rPr>
              <w:t xml:space="preserve"> 2014-2020 punta su tredici misure per lo sviluppo delle aree rurali e l’aumento della competitività del</w:t>
            </w:r>
            <w:r w:rsidRPr="00962497">
              <w:rPr>
                <w:rFonts w:ascii="Arial" w:eastAsia="Times New Roman" w:hAnsi="Arial" w:cs="Arial"/>
                <w:lang w:eastAsia="it-IT"/>
              </w:rPr>
              <w:t xml:space="preserve"> settore agricolo, per un </w:t>
            </w:r>
            <w:r w:rsidRPr="00962497">
              <w:rPr>
                <w:rFonts w:ascii="Arial" w:hAnsi="Arial" w:cs="Arial"/>
                <w:lang w:eastAsia="ar-SA"/>
              </w:rPr>
              <w:t xml:space="preserve">totale di </w:t>
            </w:r>
            <w:r w:rsidR="00765099" w:rsidRPr="00765099">
              <w:rPr>
                <w:rFonts w:ascii="Arial" w:hAnsi="Arial" w:cs="Arial"/>
                <w:b/>
                <w:bCs/>
                <w:lang w:eastAsia="ar-SA"/>
              </w:rPr>
              <w:t>1.103.562.000</w:t>
            </w:r>
            <w:r w:rsidR="00765099" w:rsidRPr="00765099">
              <w:rPr>
                <w:rFonts w:ascii="Arial" w:hAnsi="Arial" w:cs="Arial"/>
                <w:lang w:eastAsia="ar-SA"/>
              </w:rPr>
              <w:t xml:space="preserve"> </w:t>
            </w:r>
            <w:r w:rsidRPr="00962497">
              <w:rPr>
                <w:rFonts w:ascii="Arial" w:hAnsi="Arial" w:cs="Arial"/>
                <w:b/>
                <w:lang w:eastAsia="ar-SA"/>
              </w:rPr>
              <w:t>€</w:t>
            </w:r>
            <w:r w:rsidRPr="00962497">
              <w:rPr>
                <w:rFonts w:ascii="Arial" w:hAnsi="Arial" w:cs="Arial"/>
                <w:lang w:eastAsia="ar-SA"/>
              </w:rPr>
              <w:t xml:space="preserve"> da</w:t>
            </w:r>
            <w:r w:rsidRPr="00962497">
              <w:rPr>
                <w:rFonts w:ascii="Arial" w:eastAsia="Times New Roman" w:hAnsi="Arial" w:cs="Arial"/>
                <w:lang w:eastAsia="it-IT"/>
              </w:rPr>
              <w:t xml:space="preserve"> utilizzare nel corso dei 7 anni di programmazione.</w:t>
            </w:r>
          </w:p>
          <w:p w:rsidR="00962497" w:rsidRPr="00962497" w:rsidRDefault="00962497" w:rsidP="00765099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lang w:eastAsia="it-IT"/>
              </w:rPr>
              <w:t>Gli agricoltori sono i principali beneficiari delle misure del PSR, che spaziano da aiuti per ammodernamenti aziendali, a finanziamenti per la diversificazione e aumentare la sostenibilità aziendale, tutto per favorire lo sviluppo delle imprese agricole.</w:t>
            </w:r>
          </w:p>
          <w:p w:rsidR="00962497" w:rsidRDefault="00962497" w:rsidP="00765099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lang w:eastAsia="it-IT"/>
              </w:rPr>
              <w:t xml:space="preserve">Il PSR </w:t>
            </w:r>
            <w:r w:rsidR="00765099">
              <w:rPr>
                <w:rFonts w:ascii="Arial" w:eastAsia="Times New Roman" w:hAnsi="Arial" w:cs="Arial"/>
                <w:lang w:eastAsia="it-IT"/>
              </w:rPr>
              <w:t>Calabria</w:t>
            </w:r>
            <w:r w:rsidRPr="00962497">
              <w:rPr>
                <w:rFonts w:ascii="Arial" w:eastAsia="Times New Roman" w:hAnsi="Arial" w:cs="Arial"/>
                <w:lang w:eastAsia="it-IT"/>
              </w:rPr>
              <w:t xml:space="preserve"> ha individuato 6 priorità per promuovere lo sviluppo rurale: </w:t>
            </w:r>
          </w:p>
          <w:p w:rsidR="00ED19C5" w:rsidRDefault="00ED19C5" w:rsidP="00ED19C5">
            <w:pPr>
              <w:pStyle w:val="Paragrafoelenco"/>
              <w:numPr>
                <w:ilvl w:val="0"/>
                <w:numId w:val="17"/>
              </w:num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ED19C5">
              <w:rPr>
                <w:rFonts w:ascii="Arial" w:eastAsia="Times New Roman" w:hAnsi="Arial" w:cs="Arial"/>
                <w:lang w:eastAsia="it-IT"/>
              </w:rPr>
              <w:t>Trasferimento di conoscenze per promuovere l’innovazione e le competenze nel settore agricolo e forestale e nelle zone rurali.</w:t>
            </w:r>
          </w:p>
          <w:p w:rsidR="00ED19C5" w:rsidRDefault="00ED19C5" w:rsidP="00ED19C5">
            <w:pPr>
              <w:pStyle w:val="Paragrafoelenco"/>
              <w:numPr>
                <w:ilvl w:val="0"/>
                <w:numId w:val="17"/>
              </w:num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ED19C5">
              <w:rPr>
                <w:rFonts w:ascii="Arial" w:eastAsia="Times New Roman" w:hAnsi="Arial" w:cs="Arial"/>
                <w:lang w:eastAsia="it-IT"/>
              </w:rPr>
              <w:lastRenderedPageBreak/>
              <w:t>Competitività per potenziare e accrescere l’agricoltura e la redditività delle aziende agricole.</w:t>
            </w:r>
          </w:p>
          <w:p w:rsidR="00ED19C5" w:rsidRDefault="00ED19C5" w:rsidP="00ED19C5">
            <w:pPr>
              <w:pStyle w:val="Paragrafoelenco"/>
              <w:numPr>
                <w:ilvl w:val="0"/>
                <w:numId w:val="17"/>
              </w:num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ED19C5">
              <w:rPr>
                <w:rFonts w:ascii="Arial" w:eastAsia="Times New Roman" w:hAnsi="Arial" w:cs="Arial"/>
                <w:lang w:eastAsia="it-IT"/>
              </w:rPr>
              <w:t>Filiera agroalimentare per incentivare l’organizzazione e la gestione dei rischi nel settore agricolo.</w:t>
            </w:r>
          </w:p>
          <w:p w:rsidR="00ED19C5" w:rsidRDefault="00ED19C5" w:rsidP="00ED19C5">
            <w:pPr>
              <w:pStyle w:val="Paragrafoelenco"/>
              <w:numPr>
                <w:ilvl w:val="0"/>
                <w:numId w:val="17"/>
              </w:num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ED19C5">
              <w:rPr>
                <w:rFonts w:ascii="Arial" w:eastAsia="Times New Roman" w:hAnsi="Arial" w:cs="Arial"/>
                <w:lang w:eastAsia="it-IT"/>
              </w:rPr>
              <w:t>Ecosistemi per salvaguardare la biodiversità, valorizzare la gestione delle risorse idriche e la gestione del suolo.</w:t>
            </w:r>
          </w:p>
          <w:p w:rsidR="00ED19C5" w:rsidRDefault="00ED19C5" w:rsidP="00ED19C5">
            <w:pPr>
              <w:pStyle w:val="Paragrafoelenco"/>
              <w:numPr>
                <w:ilvl w:val="0"/>
                <w:numId w:val="17"/>
              </w:num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ED19C5">
              <w:rPr>
                <w:rFonts w:ascii="Arial" w:eastAsia="Times New Roman" w:hAnsi="Arial" w:cs="Arial"/>
                <w:lang w:eastAsia="it-IT"/>
              </w:rPr>
              <w:t>Efficienza delle risorse per incoraggiarne l’uso</w:t>
            </w:r>
          </w:p>
          <w:p w:rsidR="00ED19C5" w:rsidRPr="00ED19C5" w:rsidRDefault="00ED19C5" w:rsidP="00ED19C5">
            <w:pPr>
              <w:pStyle w:val="Paragrafoelenco"/>
              <w:numPr>
                <w:ilvl w:val="0"/>
                <w:numId w:val="17"/>
              </w:num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ED19C5">
              <w:rPr>
                <w:rFonts w:ascii="Arial" w:eastAsia="Times New Roman" w:hAnsi="Arial" w:cs="Arial"/>
                <w:lang w:eastAsia="it-IT"/>
              </w:rPr>
              <w:t>Inclusione sociale per sostenere la riduzione della povertà e della popolazione, promuovere lo sviluppo economico nelle zone rurali</w:t>
            </w:r>
          </w:p>
          <w:p w:rsidR="00962497" w:rsidRPr="00962497" w:rsidRDefault="00962497" w:rsidP="00765099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lang w:eastAsia="it-IT"/>
              </w:rPr>
              <w:t>Le misure a cui i singoli agricoltori possono partecipare includono:</w:t>
            </w:r>
          </w:p>
          <w:p w:rsidR="00962497" w:rsidRPr="00962497" w:rsidRDefault="00962497" w:rsidP="0076509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u w:val="single"/>
                <w:bdr w:val="none" w:sz="0" w:space="0" w:color="auto" w:frame="1"/>
                <w:lang w:eastAsia="it-IT"/>
              </w:rPr>
              <w:t>Misura 4</w:t>
            </w:r>
            <w:r w:rsidRPr="00962497">
              <w:rPr>
                <w:rFonts w:ascii="Arial" w:eastAsia="Times New Roman" w:hAnsi="Arial" w:cs="Arial"/>
                <w:lang w:eastAsia="it-IT"/>
              </w:rPr>
              <w:t>: Investimenti in immobilizzazioni materiali</w:t>
            </w:r>
          </w:p>
          <w:p w:rsidR="00962497" w:rsidRPr="00962497" w:rsidRDefault="00962497" w:rsidP="0076509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u w:val="single"/>
                <w:bdr w:val="none" w:sz="0" w:space="0" w:color="auto" w:frame="1"/>
                <w:lang w:eastAsia="it-IT"/>
              </w:rPr>
              <w:t>Misura 6</w:t>
            </w:r>
            <w:r w:rsidRPr="00962497">
              <w:rPr>
                <w:rFonts w:ascii="Arial" w:eastAsia="Times New Roman" w:hAnsi="Arial" w:cs="Arial"/>
                <w:lang w:eastAsia="it-IT"/>
              </w:rPr>
              <w:t>: Sviluppo delle aziende agricole e delle imprese</w:t>
            </w:r>
          </w:p>
          <w:p w:rsidR="00962497" w:rsidRPr="00962497" w:rsidRDefault="00962497" w:rsidP="0076509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u w:val="single"/>
                <w:bdr w:val="none" w:sz="0" w:space="0" w:color="auto" w:frame="1"/>
                <w:lang w:eastAsia="it-IT"/>
              </w:rPr>
              <w:t>Misura 8</w:t>
            </w:r>
            <w:r w:rsidRPr="00962497">
              <w:rPr>
                <w:rFonts w:ascii="Arial" w:eastAsia="Times New Roman" w:hAnsi="Arial" w:cs="Arial"/>
                <w:lang w:eastAsia="it-IT"/>
              </w:rPr>
              <w:t>: Investimenti nello sviluppo delle aree forestali, miglioramento della redditività delle foreste</w:t>
            </w:r>
          </w:p>
          <w:p w:rsidR="00962497" w:rsidRPr="00765099" w:rsidRDefault="00962497" w:rsidP="0076509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u w:val="single"/>
                <w:bdr w:val="none" w:sz="0" w:space="0" w:color="auto" w:frame="1"/>
                <w:lang w:eastAsia="it-IT"/>
              </w:rPr>
              <w:t>Misura 10</w:t>
            </w:r>
            <w:r w:rsidRPr="00962497">
              <w:rPr>
                <w:rFonts w:ascii="Arial" w:eastAsia="Times New Roman" w:hAnsi="Arial" w:cs="Arial"/>
                <w:lang w:eastAsia="it-IT"/>
              </w:rPr>
              <w:t xml:space="preserve">: </w:t>
            </w:r>
            <w:r w:rsidR="00252B1F" w:rsidRPr="00765099">
              <w:rPr>
                <w:rFonts w:ascii="Arial" w:eastAsia="Times New Roman" w:hAnsi="Arial" w:cs="Arial"/>
                <w:lang w:eastAsia="it-IT"/>
              </w:rPr>
              <w:t>P</w:t>
            </w:r>
            <w:r w:rsidRPr="00962497">
              <w:rPr>
                <w:rFonts w:ascii="Arial" w:eastAsia="Times New Roman" w:hAnsi="Arial" w:cs="Arial"/>
                <w:lang w:eastAsia="it-IT"/>
              </w:rPr>
              <w:t xml:space="preserve">agamenti </w:t>
            </w:r>
            <w:proofErr w:type="spellStart"/>
            <w:r w:rsidRPr="00962497">
              <w:rPr>
                <w:rFonts w:ascii="Arial" w:eastAsia="Times New Roman" w:hAnsi="Arial" w:cs="Arial"/>
                <w:lang w:eastAsia="it-IT"/>
              </w:rPr>
              <w:t>agro-climatico-ambientali</w:t>
            </w:r>
            <w:proofErr w:type="spellEnd"/>
          </w:p>
          <w:p w:rsidR="00252B1F" w:rsidRPr="00962497" w:rsidRDefault="00252B1F" w:rsidP="0076509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765099">
              <w:rPr>
                <w:rFonts w:ascii="Arial" w:eastAsia="Times New Roman" w:hAnsi="Arial" w:cs="Arial"/>
                <w:lang w:eastAsia="it-IT"/>
              </w:rPr>
              <w:t>Misura 11: Agricoltura Biologica</w:t>
            </w:r>
          </w:p>
          <w:p w:rsidR="00962497" w:rsidRPr="00962497" w:rsidRDefault="00962497" w:rsidP="0076509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u w:val="single"/>
                <w:bdr w:val="none" w:sz="0" w:space="0" w:color="auto" w:frame="1"/>
                <w:lang w:eastAsia="it-IT"/>
              </w:rPr>
              <w:t>Misura 13</w:t>
            </w:r>
            <w:r w:rsidRPr="00962497">
              <w:rPr>
                <w:rFonts w:ascii="Arial" w:eastAsia="Times New Roman" w:hAnsi="Arial" w:cs="Arial"/>
                <w:lang w:eastAsia="it-IT"/>
              </w:rPr>
              <w:t>: Indennità a favore delle zone soggette a vincoli</w:t>
            </w:r>
          </w:p>
          <w:p w:rsidR="00962497" w:rsidRPr="00962497" w:rsidRDefault="00962497" w:rsidP="00765099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lang w:eastAsia="it-IT"/>
              </w:rPr>
              <w:t>Ogni Misura ha uno specifico budget totale e per singolo beneficiario, e può prevedere un finanziamento totale o in percentuale sulla spesa totale.</w:t>
            </w:r>
          </w:p>
          <w:p w:rsidR="00885996" w:rsidRPr="00ED19C5" w:rsidRDefault="00962497" w:rsidP="007A795B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962497">
              <w:rPr>
                <w:rFonts w:ascii="Arial" w:eastAsia="Times New Roman" w:hAnsi="Arial" w:cs="Arial"/>
                <w:lang w:eastAsia="it-IT"/>
              </w:rPr>
              <w:t xml:space="preserve">Le possibilità di accesso a questi finanziamenti avvengono attraverso la pubblicazione, da parte della Regione </w:t>
            </w:r>
            <w:r w:rsidR="00765099">
              <w:rPr>
                <w:rFonts w:ascii="Arial" w:eastAsia="Times New Roman" w:hAnsi="Arial" w:cs="Arial"/>
                <w:lang w:eastAsia="it-IT"/>
              </w:rPr>
              <w:t>Calabria</w:t>
            </w:r>
            <w:r w:rsidRPr="00962497">
              <w:rPr>
                <w:rFonts w:ascii="Arial" w:eastAsia="Times New Roman" w:hAnsi="Arial" w:cs="Arial"/>
                <w:lang w:eastAsia="it-IT"/>
              </w:rPr>
              <w:t>, di bandi a cui presentare domanda di aiuto e concorrere per il finanziamento del proprio progetto, attraverso una graduatoria.</w:t>
            </w:r>
            <w:r w:rsidR="007A795B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4C22D9">
              <w:rPr>
                <w:rFonts w:ascii="Arial" w:eastAsia="Times New Roman" w:hAnsi="Arial" w:cs="Arial"/>
                <w:lang w:eastAsia="it-IT"/>
              </w:rPr>
              <w:t xml:space="preserve">L’azienda necessita di </w:t>
            </w:r>
            <w:r w:rsidRPr="00962497">
              <w:rPr>
                <w:rFonts w:ascii="Arial" w:eastAsia="Times New Roman" w:hAnsi="Arial" w:cs="Arial"/>
                <w:lang w:eastAsia="it-IT"/>
              </w:rPr>
              <w:t xml:space="preserve">una consulenza mirata alla conoscenza della propria redditività aziendale </w:t>
            </w:r>
            <w:r w:rsidR="007A795B">
              <w:rPr>
                <w:rFonts w:ascii="Arial" w:eastAsia="Times New Roman" w:hAnsi="Arial" w:cs="Arial"/>
                <w:lang w:eastAsia="it-IT"/>
              </w:rPr>
              <w:t xml:space="preserve">al fine di </w:t>
            </w:r>
            <w:r w:rsidRPr="00962497">
              <w:rPr>
                <w:rFonts w:ascii="Arial" w:eastAsia="Times New Roman" w:hAnsi="Arial" w:cs="Arial"/>
                <w:lang w:eastAsia="it-IT"/>
              </w:rPr>
              <w:t xml:space="preserve">sviluppare la </w:t>
            </w:r>
            <w:r w:rsidR="007A795B">
              <w:rPr>
                <w:rFonts w:ascii="Arial" w:eastAsia="Times New Roman" w:hAnsi="Arial" w:cs="Arial"/>
                <w:lang w:eastAsia="it-IT"/>
              </w:rPr>
              <w:t>sua</w:t>
            </w:r>
            <w:r w:rsidRPr="00962497">
              <w:rPr>
                <w:rFonts w:ascii="Arial" w:eastAsia="Times New Roman" w:hAnsi="Arial" w:cs="Arial"/>
                <w:lang w:eastAsia="it-IT"/>
              </w:rPr>
              <w:t xml:space="preserve"> attività dopo un’attenta valutazione delle prospettive migliori per l’azienda.</w:t>
            </w:r>
          </w:p>
        </w:tc>
      </w:tr>
    </w:tbl>
    <w:p w:rsidR="00D5794A" w:rsidRDefault="00D5794A" w:rsidP="00D5794A">
      <w:pPr>
        <w:spacing w:after="0" w:line="240" w:lineRule="auto"/>
        <w:rPr>
          <w:rFonts w:ascii="Arial" w:hAnsi="Arial" w:cs="Arial"/>
        </w:rPr>
      </w:pPr>
    </w:p>
    <w:tbl>
      <w:tblPr>
        <w:tblW w:w="5071" w:type="pct"/>
        <w:tblInd w:w="21" w:type="dxa"/>
        <w:tblLook w:val="04A0"/>
      </w:tblPr>
      <w:tblGrid>
        <w:gridCol w:w="852"/>
        <w:gridCol w:w="5519"/>
        <w:gridCol w:w="1017"/>
        <w:gridCol w:w="2606"/>
      </w:tblGrid>
      <w:tr w:rsidR="00E42803" w:rsidRPr="00D03176" w:rsidTr="00EE36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E42803" w:rsidRPr="00074278" w:rsidRDefault="00E42803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b/>
                <w:lang w:eastAsia="ar-SA"/>
              </w:rPr>
            </w:pPr>
            <w:r w:rsidRPr="00074278">
              <w:rPr>
                <w:rFonts w:ascii="Arial" w:hAnsi="Arial" w:cs="Arial"/>
              </w:rPr>
              <w:br w:type="page"/>
            </w:r>
            <w:r w:rsidRPr="00074278">
              <w:rPr>
                <w:rFonts w:ascii="Arial" w:hAnsi="Arial" w:cs="Arial"/>
                <w:b/>
              </w:rPr>
              <w:t xml:space="preserve">Obiettivi </w:t>
            </w:r>
            <w:r w:rsidR="002070A9" w:rsidRPr="00074278">
              <w:rPr>
                <w:rFonts w:ascii="Arial" w:hAnsi="Arial" w:cs="Arial"/>
                <w:b/>
              </w:rPr>
              <w:t>dei servizi di</w:t>
            </w:r>
            <w:r w:rsidRPr="00074278">
              <w:rPr>
                <w:rFonts w:ascii="Arial" w:hAnsi="Arial" w:cs="Arial"/>
                <w:b/>
              </w:rPr>
              <w:t xml:space="preserve"> consulenza</w:t>
            </w:r>
            <w:r w:rsidR="002070A9" w:rsidRPr="00074278">
              <w:rPr>
                <w:rFonts w:ascii="Arial" w:hAnsi="Arial" w:cs="Arial"/>
                <w:b/>
              </w:rPr>
              <w:t xml:space="preserve"> offerti</w:t>
            </w:r>
          </w:p>
        </w:tc>
      </w:tr>
      <w:tr w:rsidR="00E42803" w:rsidRPr="00D03176" w:rsidTr="00EE36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A2" w:rsidRPr="00AA12A2" w:rsidRDefault="00AA12A2" w:rsidP="00AA12A2">
            <w:pPr>
              <w:pStyle w:val="Paragrafoelenco"/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AA12A2">
              <w:rPr>
                <w:rFonts w:ascii="Arial" w:hAnsi="Arial" w:cs="Arial"/>
                <w:lang w:eastAsia="ar-SA"/>
              </w:rPr>
              <w:t>Accrescere l’utilizzo di strumenti di analisi di performance dell’impresa</w:t>
            </w:r>
          </w:p>
          <w:p w:rsidR="00AA12A2" w:rsidRPr="00AA12A2" w:rsidRDefault="00AA12A2" w:rsidP="00AA12A2">
            <w:pPr>
              <w:pStyle w:val="Paragrafoelenco"/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AA12A2">
              <w:rPr>
                <w:rFonts w:ascii="Arial" w:hAnsi="Arial" w:cs="Arial"/>
                <w:lang w:eastAsia="ar-SA"/>
              </w:rPr>
              <w:t>Fornire elementi per l’ottimizzazione dei fattori della produzione</w:t>
            </w:r>
          </w:p>
          <w:p w:rsidR="00AA12A2" w:rsidRPr="00AA12A2" w:rsidRDefault="00AA12A2" w:rsidP="00AA12A2">
            <w:pPr>
              <w:pStyle w:val="Paragrafoelenco"/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AA12A2">
              <w:rPr>
                <w:rFonts w:ascii="Arial" w:hAnsi="Arial" w:cs="Arial"/>
                <w:lang w:eastAsia="ar-SA"/>
              </w:rPr>
              <w:t>Favorire la conoscenza delle Misure del PSR</w:t>
            </w:r>
          </w:p>
          <w:p w:rsidR="00FD65F5" w:rsidRPr="00AA12A2" w:rsidRDefault="00AA12A2" w:rsidP="00AA12A2">
            <w:pPr>
              <w:pStyle w:val="Paragrafoelenco"/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AA12A2">
              <w:rPr>
                <w:rFonts w:ascii="Arial" w:hAnsi="Arial" w:cs="Arial"/>
                <w:lang w:eastAsia="ar-SA"/>
              </w:rPr>
              <w:t>Fare previsioni circa l’impatto di possibili percorsi di cambiamento</w:t>
            </w:r>
          </w:p>
        </w:tc>
      </w:tr>
      <w:tr w:rsidR="00901CE8" w:rsidRPr="00D03176" w:rsidTr="00E9124C">
        <w:trPr>
          <w:trHeight w:val="370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74278" w:rsidRPr="00074278" w:rsidRDefault="00901CE8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 w:rsidRPr="00074278">
              <w:rPr>
                <w:rFonts w:ascii="Arial" w:hAnsi="Arial" w:cs="Arial"/>
              </w:rPr>
              <w:br w:type="page"/>
            </w:r>
            <w:bookmarkStart w:id="0" w:name="_GoBack"/>
            <w:bookmarkEnd w:id="0"/>
            <w:r w:rsidRPr="00074278">
              <w:rPr>
                <w:rFonts w:ascii="Arial" w:hAnsi="Arial" w:cs="Arial"/>
                <w:b/>
              </w:rPr>
              <w:t xml:space="preserve">Descrizione </w:t>
            </w:r>
            <w:r w:rsidR="00074278">
              <w:rPr>
                <w:rFonts w:ascii="Arial" w:hAnsi="Arial" w:cs="Arial"/>
                <w:b/>
              </w:rPr>
              <w:t xml:space="preserve">delle attività di consulenza </w:t>
            </w:r>
            <w:r w:rsidR="00351252">
              <w:rPr>
                <w:rFonts w:ascii="Arial" w:hAnsi="Arial" w:cs="Arial"/>
                <w:b/>
              </w:rPr>
              <w:t>programmate</w:t>
            </w:r>
            <w:r w:rsidR="00C252FB">
              <w:rPr>
                <w:rFonts w:ascii="Arial" w:hAnsi="Arial" w:cs="Arial"/>
                <w:b/>
              </w:rPr>
              <w:t xml:space="preserve"> </w:t>
            </w:r>
            <w:r w:rsidRPr="00074278">
              <w:rPr>
                <w:rFonts w:ascii="Arial" w:hAnsi="Arial" w:cs="Arial"/>
                <w:b/>
              </w:rPr>
              <w:t>(quadro di sintesi)</w:t>
            </w:r>
          </w:p>
          <w:p w:rsidR="00885996" w:rsidRDefault="00074278" w:rsidP="00885996">
            <w:pPr>
              <w:suppressAutoHyphens/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N.B. per “attività di consulenza” si intendono le singole prestazioni </w:t>
            </w:r>
            <w:proofErr w:type="spellStart"/>
            <w:r>
              <w:rPr>
                <w:rFonts w:ascii="Arial" w:hAnsi="Arial" w:cs="Arial"/>
              </w:rPr>
              <w:t>consulenziali</w:t>
            </w:r>
            <w:proofErr w:type="spellEnd"/>
            <w:r w:rsidR="00835E88">
              <w:rPr>
                <w:rFonts w:ascii="Arial" w:hAnsi="Arial" w:cs="Arial"/>
              </w:rPr>
              <w:t xml:space="preserve"> di natura omogenea</w:t>
            </w:r>
            <w:r>
              <w:rPr>
                <w:rFonts w:ascii="Arial" w:hAnsi="Arial" w:cs="Arial"/>
              </w:rPr>
              <w:t>, quali visite</w:t>
            </w:r>
            <w:r w:rsidR="00742607">
              <w:rPr>
                <w:rFonts w:ascii="Arial" w:hAnsi="Arial" w:cs="Arial"/>
              </w:rPr>
              <w:t xml:space="preserve"> in azienda, analisi documentali</w:t>
            </w:r>
            <w:r>
              <w:rPr>
                <w:rFonts w:ascii="Arial" w:hAnsi="Arial" w:cs="Arial"/>
              </w:rPr>
              <w:t xml:space="preserve">, elaborazione di pareri, ecc. … </w:t>
            </w:r>
            <w:r w:rsidR="00835E88">
              <w:rPr>
                <w:rFonts w:ascii="Arial" w:hAnsi="Arial" w:cs="Arial"/>
              </w:rPr>
              <w:t xml:space="preserve">nelle quali si articola il servizio di consulenza. </w:t>
            </w:r>
          </w:p>
          <w:p w:rsidR="00885996" w:rsidRDefault="00885996" w:rsidP="00885996">
            <w:pPr>
              <w:suppressAutoHyphens/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come previsto al par. 12 delle disposizioni attuative, </w:t>
            </w:r>
            <w:r w:rsidRPr="00885996">
              <w:rPr>
                <w:rFonts w:ascii="Arial" w:hAnsi="Arial" w:cs="Arial"/>
                <w:u w:val="single"/>
              </w:rPr>
              <w:t>il massimale di 1.500,00 € di contributo pubblico si applica all’insieme di “attività di consulenza” erogate a favore dello stesso destinatario in uno o più ambiti tematici</w:t>
            </w:r>
            <w:r w:rsidRPr="002772B2">
              <w:rPr>
                <w:rFonts w:ascii="Arial" w:hAnsi="Arial" w:cs="Arial"/>
              </w:rPr>
              <w:t xml:space="preserve"> – a)</w:t>
            </w:r>
            <w:r>
              <w:rPr>
                <w:rFonts w:ascii="Arial" w:hAnsi="Arial" w:cs="Arial"/>
              </w:rPr>
              <w:t>, b), c), d), ecc. – previsti ne</w:t>
            </w:r>
            <w:r w:rsidRPr="002772B2">
              <w:rPr>
                <w:rFonts w:ascii="Arial" w:hAnsi="Arial" w:cs="Arial"/>
              </w:rPr>
              <w:t>l paragrafo</w:t>
            </w:r>
            <w:r>
              <w:rPr>
                <w:rFonts w:ascii="Arial" w:hAnsi="Arial" w:cs="Arial"/>
              </w:rPr>
              <w:t xml:space="preserve"> delle disposizioni attuative</w:t>
            </w:r>
            <w:r w:rsidRPr="002772B2">
              <w:rPr>
                <w:rFonts w:ascii="Arial" w:hAnsi="Arial" w:cs="Arial"/>
              </w:rPr>
              <w:t xml:space="preserve"> “Are</w:t>
            </w:r>
            <w:r w:rsidR="00393365">
              <w:rPr>
                <w:rFonts w:ascii="Arial" w:hAnsi="Arial" w:cs="Arial"/>
              </w:rPr>
              <w:t>a</w:t>
            </w:r>
            <w:r w:rsidRPr="002772B2">
              <w:rPr>
                <w:rFonts w:ascii="Arial" w:hAnsi="Arial" w:cs="Arial"/>
              </w:rPr>
              <w:t xml:space="preserve"> di consulenza e destinatari”.</w:t>
            </w:r>
          </w:p>
          <w:p w:rsidR="00074278" w:rsidRPr="00074278" w:rsidRDefault="00835E88" w:rsidP="00885996">
            <w:pPr>
              <w:suppressAutoHyphens/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attività devono essere programmate sulla base del n. di ore di lavoro necessario a completarle.</w:t>
            </w:r>
            <w:r w:rsidR="003E467A">
              <w:rPr>
                <w:rFonts w:ascii="Arial" w:hAnsi="Arial" w:cs="Arial"/>
              </w:rPr>
              <w:t xml:space="preserve"> Aggiungere ulteriori righe se necessario.</w:t>
            </w:r>
          </w:p>
        </w:tc>
      </w:tr>
      <w:tr w:rsidR="00742607" w:rsidRPr="002070A9" w:rsidTr="00E9124C">
        <w:trPr>
          <w:trHeight w:val="465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42607" w:rsidRPr="00901CE8" w:rsidRDefault="00742607" w:rsidP="00901CE8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n. </w:t>
            </w:r>
            <w:proofErr w:type="spellStart"/>
            <w:r>
              <w:rPr>
                <w:rFonts w:ascii="Arial" w:hAnsi="Arial" w:cs="Arial"/>
                <w:b/>
              </w:rPr>
              <w:t>progr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42607" w:rsidRPr="00901CE8" w:rsidRDefault="00742607" w:rsidP="00901CE8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attività di consulenza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42607" w:rsidRPr="00901CE8" w:rsidRDefault="00742607" w:rsidP="00742607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 w:rsidRPr="00901CE8">
              <w:rPr>
                <w:rFonts w:ascii="Arial" w:hAnsi="Arial" w:cs="Arial"/>
                <w:b/>
              </w:rPr>
              <w:t xml:space="preserve">n. ore 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42607" w:rsidRPr="00901CE8" w:rsidRDefault="00742607" w:rsidP="00901CE8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901CE8">
              <w:rPr>
                <w:rFonts w:ascii="Arial" w:hAnsi="Arial" w:cs="Arial"/>
                <w:b/>
              </w:rPr>
              <w:t>onsulente</w:t>
            </w:r>
          </w:p>
        </w:tc>
      </w:tr>
      <w:tr w:rsidR="00742607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607" w:rsidRPr="00D03176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7A795B" w:rsidRDefault="00323701" w:rsidP="007A795B">
            <w:pPr>
              <w:tabs>
                <w:tab w:val="left" w:pos="0"/>
              </w:tabs>
              <w:autoSpaceDE w:val="0"/>
              <w:snapToGrid w:val="0"/>
              <w:spacing w:before="120" w:after="120" w:line="240" w:lineRule="auto"/>
              <w:ind w:left="142" w:hanging="142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A79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c) Misure a livello aziendale previste nel PSR Calabria 2014-2020 nell’ambito della FA 2A e 2B volte allo start up, all’ammodernamento dell’azienda, al perseguimento della competitività ed al posizionamento sui mercati (in questi due casi l’attività di consulenza non deve riguardare la redazione del business </w:t>
            </w:r>
            <w:proofErr w:type="spellStart"/>
            <w:r w:rsidRPr="007A795B">
              <w:rPr>
                <w:rFonts w:ascii="Arial" w:hAnsi="Arial" w:cs="Arial"/>
                <w:sz w:val="18"/>
                <w:szCs w:val="18"/>
                <w:lang w:eastAsia="ar-SA"/>
              </w:rPr>
              <w:t>plan</w:t>
            </w:r>
            <w:proofErr w:type="spellEnd"/>
            <w:r w:rsidRPr="007A79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l’accesso al sostegno del PSR); della FA 3A volti all’integrazione di filiera, allo sviluppo della filiera corta, alla diffusione di regimi di qualità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A2" w:rsidRDefault="00F934A2" w:rsidP="00F934A2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</w:p>
          <w:p w:rsidR="00742607" w:rsidRPr="00D03176" w:rsidRDefault="00763E31" w:rsidP="00053307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 w:rsidRPr="00053307">
              <w:rPr>
                <w:rFonts w:ascii="Arial" w:hAnsi="Arial" w:cs="Arial"/>
                <w:lang w:eastAsia="ar-SA"/>
              </w:rPr>
              <w:t>1</w:t>
            </w:r>
            <w:r w:rsidR="00053307" w:rsidRPr="00053307"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Default="00742607" w:rsidP="00F934A2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</w:p>
          <w:p w:rsidR="00F934A2" w:rsidRPr="00F934A2" w:rsidRDefault="00F934A2" w:rsidP="004C22D9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2607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607" w:rsidRPr="00D03176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742607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607" w:rsidRPr="00D03176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B15B90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90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B15B90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90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F934A2" w:rsidRPr="00D03176" w:rsidTr="00E9124C">
        <w:trPr>
          <w:trHeight w:val="452"/>
        </w:trPr>
        <w:tc>
          <w:tcPr>
            <w:tcW w:w="3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A2" w:rsidRPr="00B15B90" w:rsidRDefault="00F934A2" w:rsidP="00B15B90">
            <w:pPr>
              <w:autoSpaceDE w:val="0"/>
              <w:snapToGrid w:val="0"/>
              <w:spacing w:before="120" w:after="120" w:line="280" w:lineRule="exact"/>
              <w:jc w:val="right"/>
              <w:rPr>
                <w:rFonts w:ascii="Arial" w:hAnsi="Arial" w:cs="Arial"/>
                <w:b/>
                <w:lang w:eastAsia="ar-SA"/>
              </w:rPr>
            </w:pPr>
            <w:r w:rsidRPr="00B15B90">
              <w:rPr>
                <w:rFonts w:ascii="Arial" w:hAnsi="Arial" w:cs="Arial"/>
                <w:b/>
                <w:lang w:eastAsia="ar-SA"/>
              </w:rPr>
              <w:t>Totale ore</w:t>
            </w:r>
            <w:r>
              <w:rPr>
                <w:rFonts w:ascii="Arial" w:hAnsi="Arial" w:cs="Arial"/>
                <w:b/>
                <w:lang w:eastAsia="ar-SA"/>
              </w:rPr>
              <w:t>: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A2" w:rsidRPr="00F934A2" w:rsidRDefault="00F934A2" w:rsidP="00053307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lang w:eastAsia="ar-SA"/>
              </w:rPr>
            </w:pPr>
            <w:r w:rsidRPr="00053307">
              <w:rPr>
                <w:rFonts w:ascii="Arial" w:hAnsi="Arial" w:cs="Arial"/>
                <w:b/>
                <w:lang w:eastAsia="ar-SA"/>
              </w:rPr>
              <w:t>1</w:t>
            </w:r>
            <w:r w:rsidR="00053307" w:rsidRPr="00053307">
              <w:rPr>
                <w:rFonts w:ascii="Arial" w:hAnsi="Arial" w:cs="Arial"/>
                <w:b/>
                <w:lang w:eastAsia="ar-SA"/>
              </w:rPr>
              <w:t>7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A2" w:rsidRPr="00F934A2" w:rsidRDefault="00F934A2" w:rsidP="004C22D9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E42803" w:rsidRDefault="00E42803" w:rsidP="00D5794A">
      <w:pPr>
        <w:spacing w:after="0" w:line="240" w:lineRule="auto"/>
        <w:rPr>
          <w:rFonts w:ascii="Arial" w:hAnsi="Arial" w:cs="Arial"/>
        </w:rPr>
      </w:pPr>
    </w:p>
    <w:p w:rsidR="00074278" w:rsidRPr="00074278" w:rsidRDefault="00074278" w:rsidP="00AF397F">
      <w:pPr>
        <w:pStyle w:val="Paragrafoelenco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74278">
        <w:rPr>
          <w:rFonts w:ascii="Arial" w:hAnsi="Arial" w:cs="Arial"/>
          <w:b/>
        </w:rPr>
        <w:t xml:space="preserve">Dettaglio delle attività di consulenza. </w:t>
      </w:r>
    </w:p>
    <w:p w:rsidR="00074278" w:rsidRDefault="00074278" w:rsidP="00074278">
      <w:pPr>
        <w:pStyle w:val="Paragrafoelenco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74278" w:rsidRPr="00F934A2" w:rsidRDefault="00074278" w:rsidP="00F934A2">
      <w:pPr>
        <w:pStyle w:val="Paragrafoelenco"/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074278">
        <w:rPr>
          <w:rFonts w:ascii="Arial" w:hAnsi="Arial" w:cs="Arial"/>
          <w:b/>
          <w:sz w:val="20"/>
          <w:szCs w:val="18"/>
        </w:rPr>
        <w:t>Il richiedente deve compilare una scheda</w:t>
      </w:r>
      <w:r w:rsidR="000A5125">
        <w:rPr>
          <w:rFonts w:ascii="Arial" w:hAnsi="Arial" w:cs="Arial"/>
          <w:b/>
          <w:sz w:val="20"/>
          <w:szCs w:val="18"/>
        </w:rPr>
        <w:t xml:space="preserve"> descrittiva</w:t>
      </w:r>
      <w:r w:rsidRPr="00074278">
        <w:rPr>
          <w:rFonts w:ascii="Arial" w:hAnsi="Arial" w:cs="Arial"/>
          <w:b/>
          <w:sz w:val="20"/>
          <w:szCs w:val="18"/>
        </w:rPr>
        <w:t xml:space="preserve"> per ogni attività di consulenza indicata nella precedente tabella (aggiungere ulteriori riquadri se necessario). </w:t>
      </w:r>
    </w:p>
    <w:p w:rsidR="00074278" w:rsidRPr="00074278" w:rsidRDefault="00074278" w:rsidP="00074278">
      <w:pPr>
        <w:pStyle w:val="Paragrafoelenco"/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074278">
        <w:rPr>
          <w:rFonts w:ascii="Arial" w:hAnsi="Arial" w:cs="Arial"/>
          <w:b/>
          <w:sz w:val="20"/>
          <w:szCs w:val="18"/>
        </w:rPr>
        <w:t>La descrizione fornita sarà valutata in sede di istruttoria di ammissibilità della domanda di sostegno e deve riguardare:</w:t>
      </w:r>
    </w:p>
    <w:p w:rsidR="00074278" w:rsidRPr="00776890" w:rsidRDefault="00074278" w:rsidP="00AF397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776890">
        <w:rPr>
          <w:rFonts w:ascii="Arial" w:hAnsi="Arial" w:cs="Arial"/>
          <w:b/>
          <w:sz w:val="20"/>
          <w:szCs w:val="18"/>
        </w:rPr>
        <w:t xml:space="preserve">Il </w:t>
      </w:r>
      <w:r w:rsidR="00D64681" w:rsidRPr="00776890">
        <w:rPr>
          <w:rFonts w:ascii="Arial" w:hAnsi="Arial" w:cs="Arial"/>
          <w:b/>
          <w:sz w:val="20"/>
          <w:szCs w:val="18"/>
        </w:rPr>
        <w:t xml:space="preserve">contenuto </w:t>
      </w:r>
      <w:r w:rsidRPr="00776890">
        <w:rPr>
          <w:rFonts w:ascii="Arial" w:hAnsi="Arial" w:cs="Arial"/>
          <w:b/>
          <w:sz w:val="20"/>
          <w:szCs w:val="18"/>
        </w:rPr>
        <w:t xml:space="preserve">specifico </w:t>
      </w:r>
      <w:r w:rsidR="00D64681" w:rsidRPr="00776890">
        <w:rPr>
          <w:rFonts w:ascii="Arial" w:hAnsi="Arial" w:cs="Arial"/>
          <w:b/>
          <w:sz w:val="20"/>
          <w:szCs w:val="18"/>
        </w:rPr>
        <w:t>dell’</w:t>
      </w:r>
      <w:r w:rsidRPr="00776890">
        <w:rPr>
          <w:rFonts w:ascii="Arial" w:hAnsi="Arial" w:cs="Arial"/>
          <w:b/>
          <w:sz w:val="20"/>
          <w:szCs w:val="18"/>
        </w:rPr>
        <w:t>attività di consulenza;</w:t>
      </w:r>
      <w:r w:rsidR="00D64681" w:rsidRPr="00776890">
        <w:rPr>
          <w:rFonts w:ascii="Arial" w:hAnsi="Arial" w:cs="Arial"/>
          <w:b/>
          <w:sz w:val="20"/>
          <w:szCs w:val="18"/>
        </w:rPr>
        <w:t xml:space="preserve"> </w:t>
      </w:r>
    </w:p>
    <w:p w:rsidR="00074278" w:rsidRPr="00090FD0" w:rsidRDefault="00074278" w:rsidP="00AF397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090FD0">
        <w:rPr>
          <w:rFonts w:ascii="Arial" w:hAnsi="Arial" w:cs="Arial"/>
          <w:b/>
          <w:sz w:val="20"/>
          <w:szCs w:val="18"/>
        </w:rPr>
        <w:t xml:space="preserve">la giustificazione della </w:t>
      </w:r>
      <w:r w:rsidR="00D64681" w:rsidRPr="00090FD0">
        <w:rPr>
          <w:rFonts w:ascii="Arial" w:hAnsi="Arial" w:cs="Arial"/>
          <w:b/>
          <w:sz w:val="20"/>
          <w:szCs w:val="18"/>
        </w:rPr>
        <w:t>congruità del numero di ore proposto per l’</w:t>
      </w:r>
      <w:r w:rsidRPr="00090FD0">
        <w:rPr>
          <w:rFonts w:ascii="Arial" w:hAnsi="Arial" w:cs="Arial"/>
          <w:b/>
          <w:sz w:val="20"/>
          <w:szCs w:val="18"/>
        </w:rPr>
        <w:t>attività di consulenza;</w:t>
      </w:r>
    </w:p>
    <w:p w:rsidR="00074278" w:rsidRPr="00776890" w:rsidRDefault="00074278" w:rsidP="00AF397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776890">
        <w:rPr>
          <w:rFonts w:ascii="Arial" w:hAnsi="Arial" w:cs="Arial"/>
          <w:b/>
          <w:sz w:val="20"/>
          <w:szCs w:val="18"/>
        </w:rPr>
        <w:t xml:space="preserve">le </w:t>
      </w:r>
      <w:r w:rsidR="00D64681" w:rsidRPr="00776890">
        <w:rPr>
          <w:rFonts w:ascii="Arial" w:hAnsi="Arial" w:cs="Arial"/>
          <w:b/>
          <w:sz w:val="20"/>
          <w:szCs w:val="18"/>
        </w:rPr>
        <w:t>professionalità coinvolte nell’</w:t>
      </w:r>
      <w:r w:rsidRPr="00776890">
        <w:rPr>
          <w:rFonts w:ascii="Arial" w:hAnsi="Arial" w:cs="Arial"/>
          <w:b/>
          <w:sz w:val="20"/>
          <w:szCs w:val="18"/>
        </w:rPr>
        <w:t>attività;</w:t>
      </w:r>
    </w:p>
    <w:p w:rsidR="00F934A2" w:rsidRDefault="00074278" w:rsidP="00AF397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074278">
        <w:rPr>
          <w:rFonts w:ascii="Arial" w:hAnsi="Arial" w:cs="Arial"/>
          <w:b/>
          <w:sz w:val="20"/>
          <w:szCs w:val="18"/>
        </w:rPr>
        <w:t xml:space="preserve">gli </w:t>
      </w:r>
      <w:r w:rsidR="00D64681" w:rsidRPr="00074278">
        <w:rPr>
          <w:rFonts w:ascii="Arial" w:hAnsi="Arial" w:cs="Arial"/>
          <w:b/>
          <w:sz w:val="20"/>
          <w:szCs w:val="18"/>
        </w:rPr>
        <w:t>strumenti utilizzati nell’</w:t>
      </w:r>
      <w:r w:rsidRPr="00074278">
        <w:rPr>
          <w:rFonts w:ascii="Arial" w:hAnsi="Arial" w:cs="Arial"/>
          <w:b/>
          <w:sz w:val="20"/>
          <w:szCs w:val="18"/>
        </w:rPr>
        <w:t>attività di consulenza le</w:t>
      </w:r>
      <w:r w:rsidR="00D64681" w:rsidRPr="00074278">
        <w:rPr>
          <w:rFonts w:ascii="Arial" w:hAnsi="Arial" w:cs="Arial"/>
          <w:b/>
          <w:sz w:val="20"/>
          <w:szCs w:val="18"/>
        </w:rPr>
        <w:t xml:space="preserve"> modalità </w:t>
      </w:r>
      <w:r w:rsidRPr="00074278">
        <w:rPr>
          <w:rFonts w:ascii="Arial" w:hAnsi="Arial" w:cs="Arial"/>
          <w:b/>
          <w:sz w:val="20"/>
          <w:szCs w:val="18"/>
        </w:rPr>
        <w:t>organizzative e di monitoraggio dell’efficacia dell’attività di consulenza.</w:t>
      </w:r>
    </w:p>
    <w:p w:rsidR="007A795B" w:rsidRPr="007A795B" w:rsidRDefault="007A795B" w:rsidP="007A795B">
      <w:pPr>
        <w:spacing w:after="0" w:line="240" w:lineRule="auto"/>
        <w:rPr>
          <w:rFonts w:ascii="Arial" w:hAnsi="Arial" w:cs="Arial"/>
          <w:b/>
          <w:sz w:val="20"/>
          <w:szCs w:val="18"/>
        </w:rPr>
      </w:pPr>
    </w:p>
    <w:tbl>
      <w:tblPr>
        <w:tblW w:w="4946" w:type="pct"/>
        <w:tblLook w:val="04A0"/>
      </w:tblPr>
      <w:tblGrid>
        <w:gridCol w:w="9748"/>
      </w:tblGrid>
      <w:tr w:rsidR="00D5794A" w:rsidRPr="00D03176" w:rsidTr="00EE368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901CE8" w:rsidRPr="00D64681" w:rsidRDefault="00D5794A" w:rsidP="00D64681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 w:rsidRPr="00D03176">
              <w:rPr>
                <w:rFonts w:ascii="Arial" w:hAnsi="Arial" w:cs="Arial"/>
              </w:rPr>
              <w:br w:type="page"/>
            </w:r>
            <w:r w:rsidR="00901CE8">
              <w:rPr>
                <w:rFonts w:ascii="Arial" w:hAnsi="Arial" w:cs="Arial"/>
                <w:b/>
              </w:rPr>
              <w:t>Dettaglio dell’attività di consulenza 1</w:t>
            </w:r>
          </w:p>
        </w:tc>
      </w:tr>
      <w:tr w:rsidR="00D5794A" w:rsidRPr="00D03176" w:rsidTr="00EE368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95B" w:rsidRPr="006208CD" w:rsidRDefault="00217CF8" w:rsidP="00054327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6208CD">
              <w:rPr>
                <w:rFonts w:ascii="Arial" w:eastAsia="Times New Roman" w:hAnsi="Arial" w:cs="Arial"/>
                <w:lang w:eastAsia="it-IT"/>
              </w:rPr>
              <w:t>Il servizio di consulenza prevede le seguenti fasi</w:t>
            </w:r>
            <w:r w:rsidR="00E9124C" w:rsidRPr="006208CD">
              <w:rPr>
                <w:rFonts w:ascii="Arial" w:eastAsia="Times New Roman" w:hAnsi="Arial" w:cs="Arial"/>
                <w:lang w:eastAsia="it-IT"/>
              </w:rPr>
              <w:t xml:space="preserve"> ad opera del consulente</w:t>
            </w:r>
            <w:r w:rsidR="00A42CC3">
              <w:rPr>
                <w:rFonts w:ascii="Arial" w:eastAsia="Times New Roman" w:hAnsi="Arial" w:cs="Arial"/>
                <w:lang w:eastAsia="it-IT"/>
              </w:rPr>
              <w:t xml:space="preserve"> Dott</w:t>
            </w:r>
            <w:r w:rsidR="004F141C">
              <w:rPr>
                <w:rFonts w:ascii="Arial" w:eastAsia="Times New Roman" w:hAnsi="Arial" w:cs="Arial"/>
                <w:lang w:eastAsia="it-IT"/>
              </w:rPr>
              <w:t>.</w:t>
            </w:r>
            <w:r w:rsidR="00E9124C" w:rsidRPr="006208CD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381839">
              <w:rPr>
                <w:rFonts w:ascii="Arial" w:eastAsia="Times New Roman" w:hAnsi="Arial" w:cs="Arial"/>
                <w:lang w:eastAsia="it-IT"/>
              </w:rPr>
              <w:t>________________</w:t>
            </w:r>
            <w:r w:rsidRPr="00983B30">
              <w:rPr>
                <w:rFonts w:ascii="Arial" w:eastAsia="Times New Roman" w:hAnsi="Arial" w:cs="Arial"/>
                <w:lang w:eastAsia="it-IT"/>
              </w:rPr>
              <w:t>:</w:t>
            </w:r>
          </w:p>
          <w:p w:rsidR="00054327" w:rsidRDefault="00054327" w:rsidP="00054327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054327">
              <w:rPr>
                <w:rFonts w:ascii="Arial" w:eastAsia="Times New Roman" w:hAnsi="Arial" w:cs="Arial"/>
                <w:lang w:eastAsia="it-IT"/>
              </w:rPr>
              <w:t>Il servizio di consulenza prevede le seguenti fasi:</w:t>
            </w:r>
          </w:p>
          <w:p w:rsidR="006208CD" w:rsidRDefault="00054327" w:rsidP="00054327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054327">
              <w:rPr>
                <w:rFonts w:ascii="Arial" w:eastAsia="Times New Roman" w:hAnsi="Arial" w:cs="Arial"/>
                <w:u w:val="single"/>
                <w:lang w:eastAsia="it-IT"/>
              </w:rPr>
              <w:t>1. Fase 1: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il consulente considera i dati contabili e tecnici riferiti all</w:t>
            </w:r>
            <w:r>
              <w:rPr>
                <w:rFonts w:ascii="Arial" w:eastAsia="Times New Roman" w:hAnsi="Arial" w:cs="Arial"/>
                <w:lang w:eastAsia="it-IT"/>
              </w:rPr>
              <w:t xml:space="preserve">’anno precedente la consulenza, </w:t>
            </w:r>
            <w:r w:rsidRPr="00054327">
              <w:rPr>
                <w:rFonts w:ascii="Arial" w:eastAsia="Times New Roman" w:hAnsi="Arial" w:cs="Arial"/>
                <w:lang w:eastAsia="it-IT"/>
              </w:rPr>
              <w:t>anche attraverso un’intervista diretta all’agricoltore beneficiario durante l</w:t>
            </w:r>
            <w:r w:rsidR="00A57217">
              <w:rPr>
                <w:rFonts w:ascii="Arial" w:eastAsia="Times New Roman" w:hAnsi="Arial" w:cs="Arial"/>
                <w:lang w:eastAsia="it-IT"/>
              </w:rPr>
              <w:t>a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prim</w:t>
            </w:r>
            <w:r w:rsidR="00A57217">
              <w:rPr>
                <w:rFonts w:ascii="Arial" w:eastAsia="Times New Roman" w:hAnsi="Arial" w:cs="Arial"/>
                <w:lang w:eastAsia="it-IT"/>
              </w:rPr>
              <w:t>a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visit</w:t>
            </w:r>
            <w:r w:rsidR="00A57217">
              <w:rPr>
                <w:rFonts w:ascii="Arial" w:eastAsia="Times New Roman" w:hAnsi="Arial" w:cs="Arial"/>
                <w:lang w:eastAsia="it-IT"/>
              </w:rPr>
              <w:t>a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aziendal</w:t>
            </w:r>
            <w:r w:rsidR="00A57217">
              <w:rPr>
                <w:rFonts w:ascii="Arial" w:eastAsia="Times New Roman" w:hAnsi="Arial" w:cs="Arial"/>
                <w:lang w:eastAsia="it-IT"/>
              </w:rPr>
              <w:t>e</w:t>
            </w:r>
            <w:r w:rsidRPr="00054327">
              <w:rPr>
                <w:rFonts w:ascii="Arial" w:eastAsia="Times New Roman" w:hAnsi="Arial" w:cs="Arial"/>
                <w:lang w:eastAsia="it-IT"/>
              </w:rPr>
              <w:t>, oltre che con la documentazione visionata in azienda. Que</w:t>
            </w:r>
            <w:r w:rsidR="007A795B">
              <w:rPr>
                <w:rFonts w:ascii="Arial" w:eastAsia="Times New Roman" w:hAnsi="Arial" w:cs="Arial"/>
                <w:lang w:eastAsia="it-IT"/>
              </w:rPr>
              <w:t xml:space="preserve">sti dati vengono utilizzati per </w:t>
            </w:r>
            <w:r w:rsidRPr="00054327">
              <w:rPr>
                <w:rFonts w:ascii="Arial" w:eastAsia="Times New Roman" w:hAnsi="Arial" w:cs="Arial"/>
                <w:lang w:eastAsia="it-IT"/>
              </w:rPr>
              <w:t>creare un Bilancio Semplificato che servirà al consulente per la seconda fase</w:t>
            </w:r>
            <w:r w:rsidR="003249A5">
              <w:rPr>
                <w:rFonts w:ascii="Arial" w:eastAsia="Times New Roman" w:hAnsi="Arial" w:cs="Arial"/>
                <w:lang w:eastAsia="it-IT"/>
              </w:rPr>
              <w:t xml:space="preserve"> della consulenza. Al 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termine della prima fase di consulenza sono prodotti i seguenti documenti: Bilancio Semplificato ex-ante e </w:t>
            </w:r>
            <w:r w:rsidR="003249A5">
              <w:rPr>
                <w:rFonts w:ascii="Arial" w:eastAsia="Times New Roman" w:hAnsi="Arial" w:cs="Arial"/>
                <w:lang w:eastAsia="it-IT"/>
              </w:rPr>
              <w:t>un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rappor</w:t>
            </w:r>
            <w:r w:rsidR="003249A5">
              <w:rPr>
                <w:rFonts w:ascii="Arial" w:eastAsia="Times New Roman" w:hAnsi="Arial" w:cs="Arial"/>
                <w:lang w:eastAsia="it-IT"/>
              </w:rPr>
              <w:t>to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di visita aziendale in cui il consulente riporta quali potrebbero essere i punti critici e le successive opportunità per l’azienda.</w:t>
            </w:r>
          </w:p>
          <w:p w:rsidR="00054327" w:rsidRDefault="00054327" w:rsidP="00054327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6208CD">
              <w:rPr>
                <w:rFonts w:ascii="Arial" w:eastAsia="Times New Roman" w:hAnsi="Arial" w:cs="Arial"/>
                <w:u w:val="single"/>
                <w:lang w:eastAsia="it-IT"/>
              </w:rPr>
              <w:t>2. Fase 2: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dopo un’attenta visione da parte dell’azienda dei primi documenti di output,</w:t>
            </w:r>
            <w:r w:rsidR="006208CD">
              <w:rPr>
                <w:rFonts w:ascii="Arial" w:eastAsia="Times New Roman" w:hAnsi="Arial" w:cs="Arial"/>
                <w:lang w:eastAsia="it-IT"/>
              </w:rPr>
              <w:t xml:space="preserve"> il consulente </w:t>
            </w:r>
            <w:r w:rsidRPr="00054327">
              <w:rPr>
                <w:rFonts w:ascii="Arial" w:eastAsia="Times New Roman" w:hAnsi="Arial" w:cs="Arial"/>
                <w:lang w:eastAsia="it-IT"/>
              </w:rPr>
              <w:t>prevede</w:t>
            </w:r>
            <w:r w:rsidR="003249A5">
              <w:rPr>
                <w:rFonts w:ascii="Arial" w:eastAsia="Times New Roman" w:hAnsi="Arial" w:cs="Arial"/>
                <w:lang w:eastAsia="it-IT"/>
              </w:rPr>
              <w:t xml:space="preserve"> un’altra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3249A5">
              <w:rPr>
                <w:rFonts w:ascii="Arial" w:eastAsia="Times New Roman" w:hAnsi="Arial" w:cs="Arial"/>
                <w:lang w:eastAsia="it-IT"/>
              </w:rPr>
              <w:t xml:space="preserve">visita </w:t>
            </w:r>
            <w:r w:rsidRPr="00054327">
              <w:rPr>
                <w:rFonts w:ascii="Arial" w:eastAsia="Times New Roman" w:hAnsi="Arial" w:cs="Arial"/>
                <w:lang w:eastAsia="it-IT"/>
              </w:rPr>
              <w:t>aziendal</w:t>
            </w:r>
            <w:r w:rsidR="003249A5">
              <w:rPr>
                <w:rFonts w:ascii="Arial" w:eastAsia="Times New Roman" w:hAnsi="Arial" w:cs="Arial"/>
                <w:lang w:eastAsia="it-IT"/>
              </w:rPr>
              <w:t>e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per fornire all’imprenditore un prospetto economico futuro dell’azienda e suggerendo le misure PSR che potrebbero essere attivate. Il consulente </w:t>
            </w:r>
            <w:r w:rsidRPr="00054327">
              <w:rPr>
                <w:rFonts w:ascii="Arial" w:eastAsia="Times New Roman" w:hAnsi="Arial" w:cs="Arial"/>
                <w:lang w:eastAsia="it-IT"/>
              </w:rPr>
              <w:lastRenderedPageBreak/>
              <w:t xml:space="preserve">predispone </w:t>
            </w:r>
            <w:r w:rsidR="003249A5">
              <w:rPr>
                <w:rFonts w:ascii="Arial" w:eastAsia="Times New Roman" w:hAnsi="Arial" w:cs="Arial"/>
                <w:lang w:eastAsia="it-IT"/>
              </w:rPr>
              <w:t>1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rapport</w:t>
            </w:r>
            <w:r w:rsidR="003249A5">
              <w:rPr>
                <w:rFonts w:ascii="Arial" w:eastAsia="Times New Roman" w:hAnsi="Arial" w:cs="Arial"/>
                <w:lang w:eastAsia="it-IT"/>
              </w:rPr>
              <w:t>o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tecnic</w:t>
            </w:r>
            <w:r w:rsidR="00A57217">
              <w:rPr>
                <w:rFonts w:ascii="Arial" w:eastAsia="Times New Roman" w:hAnsi="Arial" w:cs="Arial"/>
                <w:lang w:eastAsia="it-IT"/>
              </w:rPr>
              <w:t>o</w:t>
            </w:r>
            <w:r w:rsidRPr="00054327">
              <w:rPr>
                <w:rFonts w:ascii="Arial" w:eastAsia="Times New Roman" w:hAnsi="Arial" w:cs="Arial"/>
                <w:lang w:eastAsia="it-IT"/>
              </w:rPr>
              <w:t xml:space="preserve"> di visita aziendale</w:t>
            </w:r>
            <w:r w:rsidR="006208CD">
              <w:rPr>
                <w:rFonts w:ascii="Arial" w:eastAsia="Times New Roman" w:hAnsi="Arial" w:cs="Arial"/>
                <w:lang w:eastAsia="it-IT"/>
              </w:rPr>
              <w:t>.</w:t>
            </w:r>
          </w:p>
          <w:p w:rsidR="00F934A2" w:rsidRPr="00217CF8" w:rsidRDefault="007D7689" w:rsidP="00381839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7D7689">
              <w:rPr>
                <w:rFonts w:ascii="Arial" w:eastAsia="Times New Roman" w:hAnsi="Arial" w:cs="Arial"/>
                <w:lang w:eastAsia="it-IT"/>
              </w:rPr>
              <w:t xml:space="preserve">I rapporti </w:t>
            </w:r>
            <w:r>
              <w:rPr>
                <w:rFonts w:ascii="Arial" w:eastAsia="Times New Roman" w:hAnsi="Arial" w:cs="Arial"/>
                <w:lang w:eastAsia="it-IT"/>
              </w:rPr>
              <w:t>saranno</w:t>
            </w:r>
            <w:r w:rsidRPr="007D7689">
              <w:rPr>
                <w:rFonts w:ascii="Arial" w:eastAsia="Times New Roman" w:hAnsi="Arial" w:cs="Arial"/>
                <w:lang w:eastAsia="it-IT"/>
              </w:rPr>
              <w:t xml:space="preserve"> accompagnat</w:t>
            </w:r>
            <w:r>
              <w:rPr>
                <w:rFonts w:ascii="Arial" w:eastAsia="Times New Roman" w:hAnsi="Arial" w:cs="Arial"/>
                <w:lang w:eastAsia="it-IT"/>
              </w:rPr>
              <w:t>i</w:t>
            </w:r>
            <w:r w:rsidRPr="007D7689">
              <w:rPr>
                <w:rFonts w:ascii="Arial" w:eastAsia="Times New Roman" w:hAnsi="Arial" w:cs="Arial"/>
                <w:lang w:eastAsia="it-IT"/>
              </w:rPr>
              <w:t>, da materiale documentale, fotografico o di altra natura utile a dimostrare lo svolgimento del servizio di consulenza.</w:t>
            </w:r>
            <w:r w:rsidR="00F934A2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E9124C">
              <w:rPr>
                <w:rFonts w:ascii="Arial" w:eastAsia="Times New Roman" w:hAnsi="Arial" w:cs="Arial"/>
                <w:lang w:eastAsia="it-IT"/>
              </w:rPr>
              <w:t>Considerato il tempo necessario per la visita aziendale, nonché per la redazione dei rapporti tecnici di cui sopra ed in generale p</w:t>
            </w:r>
            <w:r w:rsidR="00E9124C" w:rsidRPr="00E9124C">
              <w:rPr>
                <w:rFonts w:ascii="Arial" w:eastAsia="Times New Roman" w:hAnsi="Arial" w:cs="Arial"/>
                <w:lang w:eastAsia="it-IT"/>
              </w:rPr>
              <w:t>er l’</w:t>
            </w:r>
            <w:r w:rsidR="00E9124C">
              <w:rPr>
                <w:rFonts w:ascii="Arial" w:eastAsia="Times New Roman" w:hAnsi="Arial" w:cs="Arial"/>
                <w:lang w:eastAsia="it-IT"/>
              </w:rPr>
              <w:t>attività di consulenza descritta, appare</w:t>
            </w:r>
            <w:r w:rsidR="00E9124C" w:rsidRPr="00E9124C">
              <w:rPr>
                <w:rFonts w:ascii="Arial" w:eastAsia="Times New Roman" w:hAnsi="Arial" w:cs="Arial"/>
                <w:lang w:eastAsia="it-IT"/>
              </w:rPr>
              <w:t xml:space="preserve"> congru</w:t>
            </w:r>
            <w:r w:rsidR="00E9124C">
              <w:rPr>
                <w:rFonts w:ascii="Arial" w:eastAsia="Times New Roman" w:hAnsi="Arial" w:cs="Arial"/>
                <w:lang w:eastAsia="it-IT"/>
              </w:rPr>
              <w:t xml:space="preserve">o il numero di ore proposto </w:t>
            </w:r>
            <w:r w:rsidR="00E9124C" w:rsidRPr="0091303D">
              <w:rPr>
                <w:rFonts w:ascii="Arial" w:eastAsia="Times New Roman" w:hAnsi="Arial" w:cs="Arial"/>
                <w:lang w:eastAsia="it-IT"/>
              </w:rPr>
              <w:t xml:space="preserve">pari a </w:t>
            </w:r>
            <w:r w:rsidR="00053307" w:rsidRPr="0091303D">
              <w:rPr>
                <w:rFonts w:ascii="Arial" w:eastAsia="Times New Roman" w:hAnsi="Arial" w:cs="Arial"/>
                <w:lang w:eastAsia="it-IT"/>
              </w:rPr>
              <w:t>17</w:t>
            </w:r>
            <w:r w:rsidR="00E9124C" w:rsidRPr="0091303D">
              <w:rPr>
                <w:rFonts w:ascii="Arial" w:eastAsia="Times New Roman" w:hAnsi="Arial" w:cs="Arial"/>
                <w:lang w:eastAsia="it-IT"/>
              </w:rPr>
              <w:t xml:space="preserve"> proposto dal consulente </w:t>
            </w:r>
            <w:r w:rsidR="00381839">
              <w:rPr>
                <w:rFonts w:ascii="Arial" w:eastAsia="Times New Roman" w:hAnsi="Arial" w:cs="Arial"/>
                <w:lang w:eastAsia="it-IT"/>
              </w:rPr>
              <w:t>_______________</w:t>
            </w:r>
            <w:r w:rsidR="00E9124C" w:rsidRPr="0091303D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</w:tr>
    </w:tbl>
    <w:p w:rsidR="00514415" w:rsidRDefault="00514415" w:rsidP="00D5794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9854"/>
      </w:tblGrid>
      <w:tr w:rsidR="00901CE8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901CE8" w:rsidRPr="00D03176" w:rsidRDefault="00901CE8" w:rsidP="0070494F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lang w:eastAsia="ar-SA"/>
              </w:rPr>
            </w:pPr>
            <w:r w:rsidRPr="00D03176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</w:rPr>
              <w:t>Dettaglio dell’attività di consulenza 2</w:t>
            </w:r>
          </w:p>
        </w:tc>
      </w:tr>
      <w:tr w:rsidR="00901CE8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CE8" w:rsidRPr="00D03176" w:rsidRDefault="00901CE8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</w:tbl>
    <w:p w:rsidR="00901CE8" w:rsidRDefault="00901CE8" w:rsidP="00D5794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9854"/>
      </w:tblGrid>
      <w:tr w:rsidR="00901CE8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901CE8" w:rsidRPr="00D03176" w:rsidRDefault="00901CE8" w:rsidP="0070494F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lang w:eastAsia="ar-SA"/>
              </w:rPr>
            </w:pPr>
            <w:r w:rsidRPr="00D03176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</w:rPr>
              <w:t>Dettaglio dell’attività di consulenza 3</w:t>
            </w:r>
          </w:p>
        </w:tc>
      </w:tr>
      <w:tr w:rsidR="00901CE8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5F5" w:rsidRPr="00D03176" w:rsidRDefault="00FD65F5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</w:tbl>
    <w:p w:rsidR="00901CE8" w:rsidRDefault="00901CE8" w:rsidP="00D5794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9854"/>
      </w:tblGrid>
      <w:tr w:rsidR="00D5794A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D5794A" w:rsidRPr="00074278" w:rsidRDefault="00D5794A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b/>
                <w:lang w:eastAsia="ar-SA"/>
              </w:rPr>
            </w:pPr>
            <w:r w:rsidRPr="00074278">
              <w:rPr>
                <w:rFonts w:ascii="Arial" w:hAnsi="Arial" w:cs="Arial"/>
              </w:rPr>
              <w:br w:type="page"/>
            </w:r>
            <w:r w:rsidRPr="00074278">
              <w:rPr>
                <w:rFonts w:ascii="Arial" w:hAnsi="Arial" w:cs="Arial"/>
              </w:rPr>
              <w:br w:type="page"/>
            </w:r>
            <w:r w:rsidRPr="00074278">
              <w:rPr>
                <w:rFonts w:ascii="Arial" w:hAnsi="Arial" w:cs="Arial"/>
                <w:b/>
              </w:rPr>
              <w:t xml:space="preserve">Risultati </w:t>
            </w:r>
            <w:r w:rsidR="00D64681" w:rsidRPr="00074278">
              <w:rPr>
                <w:rFonts w:ascii="Arial" w:hAnsi="Arial" w:cs="Arial"/>
                <w:b/>
              </w:rPr>
              <w:t>attesi dai servizi di consulenza</w:t>
            </w:r>
          </w:p>
        </w:tc>
      </w:tr>
      <w:tr w:rsidR="00D5794A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1" w:rsidRDefault="0070494F" w:rsidP="00F934A2">
            <w:p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70494F">
              <w:rPr>
                <w:rFonts w:ascii="Arial" w:hAnsi="Arial" w:cs="Arial"/>
                <w:lang w:eastAsia="ar-SA"/>
              </w:rPr>
              <w:t>I risultati attesi dai servizi di consulenza</w:t>
            </w:r>
            <w:r>
              <w:rPr>
                <w:rFonts w:ascii="Arial" w:hAnsi="Arial" w:cs="Arial"/>
                <w:lang w:eastAsia="ar-SA"/>
              </w:rPr>
              <w:t xml:space="preserve">: </w:t>
            </w:r>
          </w:p>
          <w:p w:rsidR="00323701" w:rsidRPr="00323701" w:rsidRDefault="00323701" w:rsidP="00323701">
            <w:pPr>
              <w:pStyle w:val="Paragrafoelenco"/>
              <w:numPr>
                <w:ilvl w:val="0"/>
                <w:numId w:val="19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</w:t>
            </w:r>
            <w:r w:rsidRPr="00323701">
              <w:rPr>
                <w:rFonts w:ascii="Arial" w:hAnsi="Arial" w:cs="Arial"/>
                <w:lang w:eastAsia="ar-SA"/>
              </w:rPr>
              <w:t>tilizzo di strumenti di analisi di performance dell’impresa</w:t>
            </w:r>
          </w:p>
          <w:p w:rsidR="00323701" w:rsidRPr="00323701" w:rsidRDefault="00323701" w:rsidP="00323701">
            <w:pPr>
              <w:pStyle w:val="Paragrafoelenco"/>
              <w:numPr>
                <w:ilvl w:val="0"/>
                <w:numId w:val="19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</w:t>
            </w:r>
            <w:r w:rsidRPr="00323701">
              <w:rPr>
                <w:rFonts w:ascii="Arial" w:hAnsi="Arial" w:cs="Arial"/>
                <w:lang w:eastAsia="ar-SA"/>
              </w:rPr>
              <w:t>ttimizzazione dei fattori della produzione</w:t>
            </w:r>
          </w:p>
          <w:p w:rsidR="00323701" w:rsidRPr="00323701" w:rsidRDefault="00323701" w:rsidP="00323701">
            <w:pPr>
              <w:pStyle w:val="Paragrafoelenco"/>
              <w:numPr>
                <w:ilvl w:val="0"/>
                <w:numId w:val="19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</w:t>
            </w:r>
            <w:r w:rsidRPr="00323701">
              <w:rPr>
                <w:rFonts w:ascii="Arial" w:hAnsi="Arial" w:cs="Arial"/>
                <w:lang w:eastAsia="ar-SA"/>
              </w:rPr>
              <w:t>onoscenza delle Misure del PSR</w:t>
            </w:r>
          </w:p>
          <w:p w:rsidR="00D5794A" w:rsidRPr="004C22D9" w:rsidRDefault="00323701" w:rsidP="00F934A2">
            <w:pPr>
              <w:pStyle w:val="Paragrafoelenco"/>
              <w:numPr>
                <w:ilvl w:val="0"/>
                <w:numId w:val="19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Conoscenza</w:t>
            </w:r>
            <w:r w:rsidRPr="00323701">
              <w:rPr>
                <w:rFonts w:ascii="Arial" w:hAnsi="Arial" w:cs="Arial"/>
                <w:lang w:eastAsia="ar-SA"/>
              </w:rPr>
              <w:t xml:space="preserve"> di possibili percorsi di cambiamento</w:t>
            </w:r>
            <w:r>
              <w:rPr>
                <w:rFonts w:ascii="Arial" w:hAnsi="Arial" w:cs="Arial"/>
                <w:lang w:eastAsia="ar-SA"/>
              </w:rPr>
              <w:t xml:space="preserve"> e diversificazione aziendale</w:t>
            </w:r>
          </w:p>
        </w:tc>
      </w:tr>
    </w:tbl>
    <w:p w:rsidR="00FD65F5" w:rsidRDefault="00FD65F5" w:rsidP="00D5794A">
      <w:pPr>
        <w:spacing w:after="0" w:line="240" w:lineRule="auto"/>
        <w:rPr>
          <w:rFonts w:ascii="Arial" w:hAnsi="Arial" w:cs="Arial"/>
        </w:rPr>
      </w:pPr>
    </w:p>
    <w:p w:rsidR="00FD65F5" w:rsidRDefault="00011CE8" w:rsidP="00F934A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Allega alla presente un documento di identità in corso di validità</w:t>
      </w:r>
    </w:p>
    <w:p w:rsidR="00FD65F5" w:rsidRDefault="00FD65F5" w:rsidP="00FD65F5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TIMBRO E FIRMA</w:t>
      </w:r>
    </w:p>
    <w:p w:rsidR="00FD65F5" w:rsidRDefault="00FD65F5" w:rsidP="00FD65F5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DEL LEGALE RAPPRESENTANTE DELL’ORGANISMO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CONSULENZA</w:t>
      </w:r>
    </w:p>
    <w:p w:rsidR="00FD65F5" w:rsidRDefault="00FD65F5" w:rsidP="00FD65F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___________________________________</w:t>
      </w:r>
    </w:p>
    <w:p w:rsidR="00BA5B6B" w:rsidRPr="00D03176" w:rsidRDefault="00BA5B6B" w:rsidP="00F934A2">
      <w:pPr>
        <w:rPr>
          <w:rFonts w:ascii="Arial" w:hAnsi="Arial" w:cs="Arial"/>
        </w:rPr>
      </w:pPr>
    </w:p>
    <w:sectPr w:rsidR="00BA5B6B" w:rsidRPr="00D03176" w:rsidSect="00606800">
      <w:headerReference w:type="default" r:id="rId10"/>
      <w:pgSz w:w="11906" w:h="16838"/>
      <w:pgMar w:top="1593" w:right="1134" w:bottom="851" w:left="1134" w:header="708" w:footer="4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190" w:rsidRDefault="00E53190" w:rsidP="00761D20">
      <w:pPr>
        <w:spacing w:after="0" w:line="240" w:lineRule="auto"/>
      </w:pPr>
      <w:r>
        <w:separator/>
      </w:r>
    </w:p>
  </w:endnote>
  <w:endnote w:type="continuationSeparator" w:id="0">
    <w:p w:rsidR="00E53190" w:rsidRDefault="00E53190" w:rsidP="0076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Segoe UI Semilight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8"/>
        <w:szCs w:val="18"/>
      </w:rPr>
      <w:id w:val="188066678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70494F" w:rsidRPr="004B2924" w:rsidRDefault="0070494F" w:rsidP="00D5794A">
            <w:pPr>
              <w:pStyle w:val="Pidipagina"/>
              <w:pBdr>
                <w:top w:val="single" w:sz="4" w:space="1" w:color="2E74B5" w:themeColor="accent1" w:themeShade="BF"/>
              </w:pBd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Scheda di ingresso – Tipologia di intervento 2.1.1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16584">
              <w:rPr>
                <w:rFonts w:ascii="Arial" w:hAnsi="Arial" w:cs="Arial"/>
                <w:i/>
                <w:sz w:val="18"/>
                <w:szCs w:val="18"/>
              </w:rPr>
              <w:tab/>
              <w:t xml:space="preserve">Pag. </w:t>
            </w:r>
            <w:r w:rsidR="004C1724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Pr="00316584">
              <w:rPr>
                <w:rFonts w:ascii="Arial" w:hAnsi="Arial" w:cs="Arial"/>
                <w:bCs/>
                <w:i/>
                <w:sz w:val="18"/>
                <w:szCs w:val="18"/>
              </w:rPr>
              <w:instrText>PAGE</w:instrText>
            </w:r>
            <w:r w:rsidR="004C1724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381839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5</w:t>
            </w:r>
            <w:r w:rsidR="004C1724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  <w:r w:rsidRPr="00316584">
              <w:rPr>
                <w:rFonts w:ascii="Arial" w:hAnsi="Arial" w:cs="Arial"/>
                <w:i/>
                <w:sz w:val="18"/>
                <w:szCs w:val="18"/>
              </w:rPr>
              <w:t xml:space="preserve"> di </w:t>
            </w:r>
            <w:r w:rsidR="004C1724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Pr="00316584">
              <w:rPr>
                <w:rFonts w:ascii="Arial" w:hAnsi="Arial" w:cs="Arial"/>
                <w:bCs/>
                <w:i/>
                <w:sz w:val="18"/>
                <w:szCs w:val="18"/>
              </w:rPr>
              <w:instrText>NUMPAGES</w:instrText>
            </w:r>
            <w:r w:rsidR="004C1724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381839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5</w:t>
            </w:r>
            <w:r w:rsidR="004C1724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190" w:rsidRDefault="00E53190" w:rsidP="00761D20">
      <w:pPr>
        <w:spacing w:after="0" w:line="240" w:lineRule="auto"/>
      </w:pPr>
      <w:r>
        <w:separator/>
      </w:r>
    </w:p>
  </w:footnote>
  <w:footnote w:type="continuationSeparator" w:id="0">
    <w:p w:rsidR="00E53190" w:rsidRDefault="00E53190" w:rsidP="0076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center"/>
      <w:tblLayout w:type="fixed"/>
      <w:tblLook w:val="04A0"/>
    </w:tblPr>
    <w:tblGrid>
      <w:gridCol w:w="2660"/>
      <w:gridCol w:w="2835"/>
      <w:gridCol w:w="1984"/>
      <w:gridCol w:w="2375"/>
    </w:tblGrid>
    <w:tr w:rsidR="0070494F" w:rsidRPr="00E80065" w:rsidTr="005573AA">
      <w:trPr>
        <w:jc w:val="center"/>
      </w:trPr>
      <w:tc>
        <w:tcPr>
          <w:tcW w:w="2660" w:type="dxa"/>
        </w:tcPr>
        <w:p w:rsidR="0070494F" w:rsidRPr="00E80065" w:rsidRDefault="0070494F" w:rsidP="00D11379">
          <w:pPr>
            <w:pStyle w:val="Intestazione"/>
            <w:ind w:left="-142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590040" cy="993775"/>
                <wp:effectExtent l="19050" t="0" r="0" b="0"/>
                <wp:docPr id="9" name="Immagine 9" descr="unione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 descr="unione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70494F" w:rsidRPr="00E80065" w:rsidRDefault="0070494F" w:rsidP="00D11379">
          <w:pPr>
            <w:pStyle w:val="Intestazione"/>
            <w:ind w:left="-108"/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809115" cy="984250"/>
                <wp:effectExtent l="19050" t="0" r="635" b="0"/>
                <wp:docPr id="10" name="Immagine 40" descr="ministero polt agri, 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 descr="ministero polt agri, 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:rsidR="0070494F" w:rsidRPr="00E80065" w:rsidRDefault="0070494F" w:rsidP="00D11379">
          <w:pPr>
            <w:pStyle w:val="Intestazione"/>
            <w:spacing w:before="200"/>
            <w:ind w:left="-108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  <w:lang w:eastAsia="it-IT"/>
            </w:rPr>
            <w:drawing>
              <wp:inline distT="0" distB="0" distL="0" distR="0">
                <wp:extent cx="497205" cy="497205"/>
                <wp:effectExtent l="19050" t="0" r="0" b="0"/>
                <wp:docPr id="11" name="Immagine 1" descr="REGCAL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GCAL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0494F" w:rsidRPr="00E80065" w:rsidRDefault="0070494F" w:rsidP="00D11379">
          <w:pPr>
            <w:pStyle w:val="Intestazione"/>
            <w:ind w:left="-108"/>
            <w:jc w:val="center"/>
            <w:rPr>
              <w:noProof/>
            </w:rPr>
          </w:pPr>
          <w:r w:rsidRPr="00E80065">
            <w:rPr>
              <w:rFonts w:ascii="Verdana" w:hAnsi="Verdana" w:cs="Arial"/>
              <w:b/>
              <w:smallCaps/>
              <w:spacing w:val="22"/>
              <w:sz w:val="13"/>
              <w:szCs w:val="13"/>
            </w:rPr>
            <w:t>REGIONE CALABRIA</w:t>
          </w:r>
        </w:p>
      </w:tc>
      <w:tc>
        <w:tcPr>
          <w:tcW w:w="2375" w:type="dxa"/>
        </w:tcPr>
        <w:p w:rsidR="0070494F" w:rsidRPr="00E80065" w:rsidRDefault="0070494F" w:rsidP="00D11379">
          <w:pPr>
            <w:pStyle w:val="Intestazione"/>
            <w:ind w:left="-119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91285" cy="735330"/>
                <wp:effectExtent l="19050" t="0" r="0" b="0"/>
                <wp:docPr id="12" name="Immagine 63" descr="PSR2014_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3" descr="PSR2014_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4900" t="6667" r="7300" b="8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494F" w:rsidRDefault="0070494F" w:rsidP="00E36E3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61" w:type="dxa"/>
      <w:jc w:val="center"/>
      <w:tblLayout w:type="fixed"/>
      <w:tblLook w:val="04A0"/>
    </w:tblPr>
    <w:tblGrid>
      <w:gridCol w:w="2635"/>
      <w:gridCol w:w="2808"/>
      <w:gridCol w:w="1965"/>
      <w:gridCol w:w="2353"/>
    </w:tblGrid>
    <w:tr w:rsidR="0070494F" w:rsidRPr="00E80065" w:rsidTr="00A132AC">
      <w:trPr>
        <w:trHeight w:val="1601"/>
        <w:jc w:val="center"/>
      </w:trPr>
      <w:tc>
        <w:tcPr>
          <w:tcW w:w="2635" w:type="dxa"/>
        </w:tcPr>
        <w:p w:rsidR="0070494F" w:rsidRPr="00E80065" w:rsidRDefault="0070494F" w:rsidP="00D11379">
          <w:pPr>
            <w:pStyle w:val="Intestazione"/>
            <w:ind w:left="-142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590040" cy="993775"/>
                <wp:effectExtent l="19050" t="0" r="0" b="0"/>
                <wp:docPr id="1" name="Immagine 9" descr="unione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 descr="unione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</w:tcPr>
        <w:p w:rsidR="0070494F" w:rsidRPr="00E80065" w:rsidRDefault="0070494F" w:rsidP="00D11379">
          <w:pPr>
            <w:pStyle w:val="Intestazione"/>
            <w:ind w:left="-108"/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809115" cy="984250"/>
                <wp:effectExtent l="19050" t="0" r="635" b="0"/>
                <wp:docPr id="2" name="Immagine 40" descr="ministero polt agri, 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 descr="ministero polt agri, 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</w:tcPr>
        <w:p w:rsidR="0070494F" w:rsidRPr="00E80065" w:rsidRDefault="0070494F" w:rsidP="00D11379">
          <w:pPr>
            <w:pStyle w:val="Intestazione"/>
            <w:spacing w:before="200"/>
            <w:ind w:left="-108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  <w:lang w:eastAsia="it-IT"/>
            </w:rPr>
            <w:drawing>
              <wp:inline distT="0" distB="0" distL="0" distR="0">
                <wp:extent cx="497205" cy="497205"/>
                <wp:effectExtent l="19050" t="0" r="0" b="0"/>
                <wp:docPr id="3" name="Immagine 1" descr="REGCAL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GCAL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0494F" w:rsidRPr="00E80065" w:rsidRDefault="0070494F" w:rsidP="00D11379">
          <w:pPr>
            <w:pStyle w:val="Intestazione"/>
            <w:ind w:left="-108"/>
            <w:jc w:val="center"/>
            <w:rPr>
              <w:noProof/>
            </w:rPr>
          </w:pPr>
          <w:r w:rsidRPr="00E80065">
            <w:rPr>
              <w:rFonts w:ascii="Verdana" w:hAnsi="Verdana" w:cs="Arial"/>
              <w:b/>
              <w:smallCaps/>
              <w:spacing w:val="22"/>
              <w:sz w:val="13"/>
              <w:szCs w:val="13"/>
            </w:rPr>
            <w:t>REGIONE CALABRIA</w:t>
          </w:r>
        </w:p>
      </w:tc>
      <w:tc>
        <w:tcPr>
          <w:tcW w:w="2353" w:type="dxa"/>
        </w:tcPr>
        <w:p w:rsidR="0070494F" w:rsidRPr="00E80065" w:rsidRDefault="0070494F" w:rsidP="00D11379">
          <w:pPr>
            <w:pStyle w:val="Intestazione"/>
            <w:ind w:left="-119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91285" cy="735330"/>
                <wp:effectExtent l="19050" t="0" r="0" b="0"/>
                <wp:docPr id="4" name="Immagine 63" descr="PSR2014_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3" descr="PSR2014_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4900" t="6667" r="7300" b="8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494F" w:rsidRDefault="0070494F" w:rsidP="00FD65F5">
    <w:pPr>
      <w:pStyle w:val="Intestazione"/>
      <w:jc w:val="center"/>
      <w:rPr>
        <w:rFonts w:ascii="Arial" w:hAnsi="Arial" w:cs="Arial"/>
      </w:rPr>
    </w:pPr>
    <w:r w:rsidRPr="005573AA">
      <w:rPr>
        <w:rFonts w:ascii="Arial" w:hAnsi="Arial" w:cs="Arial"/>
      </w:rPr>
      <w:t xml:space="preserve">DICHIARAZIONE RESA AI SENSI DEL </w:t>
    </w:r>
    <w:proofErr w:type="spellStart"/>
    <w:r w:rsidRPr="005573AA">
      <w:rPr>
        <w:rFonts w:ascii="Arial" w:hAnsi="Arial" w:cs="Arial"/>
      </w:rPr>
      <w:t>D.P.R</w:t>
    </w:r>
    <w:proofErr w:type="spellEnd"/>
    <w:r w:rsidRPr="005573AA">
      <w:rPr>
        <w:rFonts w:ascii="Arial" w:hAnsi="Arial" w:cs="Arial"/>
      </w:rPr>
      <w:t xml:space="preserve"> n. 445 del 2000</w:t>
    </w:r>
  </w:p>
  <w:p w:rsidR="0070494F" w:rsidRDefault="0070494F" w:rsidP="005573A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E7D125"/>
    <w:multiLevelType w:val="hybridMultilevel"/>
    <w:tmpl w:val="092E84D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4C3B1C"/>
    <w:multiLevelType w:val="multilevel"/>
    <w:tmpl w:val="E544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6DAB"/>
    <w:multiLevelType w:val="multilevel"/>
    <w:tmpl w:val="2628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4723C"/>
    <w:multiLevelType w:val="hybridMultilevel"/>
    <w:tmpl w:val="964EBC3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E5DB1"/>
    <w:multiLevelType w:val="hybridMultilevel"/>
    <w:tmpl w:val="42B44D18"/>
    <w:lvl w:ilvl="0" w:tplc="4FAE287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0C05B7"/>
    <w:multiLevelType w:val="multilevel"/>
    <w:tmpl w:val="D2F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C70BE"/>
    <w:multiLevelType w:val="multilevel"/>
    <w:tmpl w:val="087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A2931"/>
    <w:multiLevelType w:val="multilevel"/>
    <w:tmpl w:val="0C4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B5076D"/>
    <w:multiLevelType w:val="hybridMultilevel"/>
    <w:tmpl w:val="3CC84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5202C"/>
    <w:multiLevelType w:val="hybridMultilevel"/>
    <w:tmpl w:val="DEDE6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A565A"/>
    <w:multiLevelType w:val="multilevel"/>
    <w:tmpl w:val="0F1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072E6E"/>
    <w:multiLevelType w:val="hybridMultilevel"/>
    <w:tmpl w:val="0ABC5312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F156CEA"/>
    <w:multiLevelType w:val="multilevel"/>
    <w:tmpl w:val="546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417A02"/>
    <w:multiLevelType w:val="multilevel"/>
    <w:tmpl w:val="FFE47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0D3DFD"/>
    <w:multiLevelType w:val="multilevel"/>
    <w:tmpl w:val="A6BACF1E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5">
    <w:nsid w:val="48077554"/>
    <w:multiLevelType w:val="hybridMultilevel"/>
    <w:tmpl w:val="F0128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27195"/>
    <w:multiLevelType w:val="hybridMultilevel"/>
    <w:tmpl w:val="58F4E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05D76"/>
    <w:multiLevelType w:val="multilevel"/>
    <w:tmpl w:val="833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CF46FF"/>
    <w:multiLevelType w:val="hybridMultilevel"/>
    <w:tmpl w:val="B9C4364E"/>
    <w:lvl w:ilvl="0" w:tplc="71E4D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1"/>
  </w:num>
  <w:num w:numId="5">
    <w:abstractNumId w:val="16"/>
  </w:num>
  <w:num w:numId="6">
    <w:abstractNumId w:val="13"/>
  </w:num>
  <w:num w:numId="7">
    <w:abstractNumId w:val="8"/>
  </w:num>
  <w:num w:numId="8">
    <w:abstractNumId w:val="15"/>
  </w:num>
  <w:num w:numId="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"/>
  </w:num>
  <w:num w:numId="13">
    <w:abstractNumId w:val="0"/>
  </w:num>
  <w:num w:numId="1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3"/>
  </w:num>
  <w:num w:numId="1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761D20"/>
    <w:rsid w:val="00003AA5"/>
    <w:rsid w:val="0000773D"/>
    <w:rsid w:val="00011CE8"/>
    <w:rsid w:val="00013188"/>
    <w:rsid w:val="00014ECA"/>
    <w:rsid w:val="00015C95"/>
    <w:rsid w:val="00016B93"/>
    <w:rsid w:val="00030494"/>
    <w:rsid w:val="00031C95"/>
    <w:rsid w:val="000329A4"/>
    <w:rsid w:val="00032FA4"/>
    <w:rsid w:val="0003516C"/>
    <w:rsid w:val="00035E05"/>
    <w:rsid w:val="0003625A"/>
    <w:rsid w:val="00036DF7"/>
    <w:rsid w:val="0004027A"/>
    <w:rsid w:val="000415B5"/>
    <w:rsid w:val="00044678"/>
    <w:rsid w:val="00044BCC"/>
    <w:rsid w:val="000513A6"/>
    <w:rsid w:val="0005192D"/>
    <w:rsid w:val="00053129"/>
    <w:rsid w:val="000532BF"/>
    <w:rsid w:val="00053307"/>
    <w:rsid w:val="00054327"/>
    <w:rsid w:val="000602FE"/>
    <w:rsid w:val="00060D20"/>
    <w:rsid w:val="00065F76"/>
    <w:rsid w:val="00074278"/>
    <w:rsid w:val="00082E3F"/>
    <w:rsid w:val="000854ED"/>
    <w:rsid w:val="00086DB2"/>
    <w:rsid w:val="00090E3E"/>
    <w:rsid w:val="00090FD0"/>
    <w:rsid w:val="00091BBB"/>
    <w:rsid w:val="00092856"/>
    <w:rsid w:val="000971CD"/>
    <w:rsid w:val="00097BD3"/>
    <w:rsid w:val="000A0B23"/>
    <w:rsid w:val="000A5125"/>
    <w:rsid w:val="000B2888"/>
    <w:rsid w:val="000B2FC9"/>
    <w:rsid w:val="000B4F6F"/>
    <w:rsid w:val="000B50A0"/>
    <w:rsid w:val="000C0215"/>
    <w:rsid w:val="000C11A0"/>
    <w:rsid w:val="000C19D9"/>
    <w:rsid w:val="000C20BC"/>
    <w:rsid w:val="000C2E51"/>
    <w:rsid w:val="000C4B9D"/>
    <w:rsid w:val="000C6D48"/>
    <w:rsid w:val="000C7EA0"/>
    <w:rsid w:val="000D0DA0"/>
    <w:rsid w:val="000D2984"/>
    <w:rsid w:val="000D6768"/>
    <w:rsid w:val="000D6FB0"/>
    <w:rsid w:val="000E2F13"/>
    <w:rsid w:val="000F4060"/>
    <w:rsid w:val="000F4474"/>
    <w:rsid w:val="000F4DCE"/>
    <w:rsid w:val="00102153"/>
    <w:rsid w:val="0010367E"/>
    <w:rsid w:val="0011751D"/>
    <w:rsid w:val="001308AD"/>
    <w:rsid w:val="00131C88"/>
    <w:rsid w:val="0013379D"/>
    <w:rsid w:val="0013667C"/>
    <w:rsid w:val="00137781"/>
    <w:rsid w:val="00146624"/>
    <w:rsid w:val="001469EC"/>
    <w:rsid w:val="001475E3"/>
    <w:rsid w:val="001614C8"/>
    <w:rsid w:val="001670DC"/>
    <w:rsid w:val="001675EE"/>
    <w:rsid w:val="00170584"/>
    <w:rsid w:val="00173219"/>
    <w:rsid w:val="001759DB"/>
    <w:rsid w:val="0017689C"/>
    <w:rsid w:val="001770D0"/>
    <w:rsid w:val="00177E25"/>
    <w:rsid w:val="001821DB"/>
    <w:rsid w:val="00187E7B"/>
    <w:rsid w:val="001941C5"/>
    <w:rsid w:val="00196B29"/>
    <w:rsid w:val="00196FF6"/>
    <w:rsid w:val="001B43F9"/>
    <w:rsid w:val="001C2513"/>
    <w:rsid w:val="001C5718"/>
    <w:rsid w:val="001D469A"/>
    <w:rsid w:val="001D5D8D"/>
    <w:rsid w:val="001E12AA"/>
    <w:rsid w:val="001E1E10"/>
    <w:rsid w:val="001E27B5"/>
    <w:rsid w:val="001E4B85"/>
    <w:rsid w:val="001F0436"/>
    <w:rsid w:val="001F533A"/>
    <w:rsid w:val="001F592B"/>
    <w:rsid w:val="001F704A"/>
    <w:rsid w:val="001F72DB"/>
    <w:rsid w:val="001F7951"/>
    <w:rsid w:val="00201F9E"/>
    <w:rsid w:val="002070A9"/>
    <w:rsid w:val="00211785"/>
    <w:rsid w:val="00217CF8"/>
    <w:rsid w:val="0022087D"/>
    <w:rsid w:val="00221AD2"/>
    <w:rsid w:val="00222321"/>
    <w:rsid w:val="002304D1"/>
    <w:rsid w:val="00236F07"/>
    <w:rsid w:val="00237A3C"/>
    <w:rsid w:val="002440A2"/>
    <w:rsid w:val="0024646F"/>
    <w:rsid w:val="0024794B"/>
    <w:rsid w:val="00250B8F"/>
    <w:rsid w:val="002520A9"/>
    <w:rsid w:val="00252B1F"/>
    <w:rsid w:val="00253BEE"/>
    <w:rsid w:val="00254120"/>
    <w:rsid w:val="0026337D"/>
    <w:rsid w:val="00263F5D"/>
    <w:rsid w:val="00271E8B"/>
    <w:rsid w:val="00275538"/>
    <w:rsid w:val="00280226"/>
    <w:rsid w:val="002815CB"/>
    <w:rsid w:val="00291A5E"/>
    <w:rsid w:val="002A017E"/>
    <w:rsid w:val="002A25F5"/>
    <w:rsid w:val="002B2C0E"/>
    <w:rsid w:val="002B5140"/>
    <w:rsid w:val="002B5713"/>
    <w:rsid w:val="002B7AE2"/>
    <w:rsid w:val="002C164C"/>
    <w:rsid w:val="002C5A86"/>
    <w:rsid w:val="002D0677"/>
    <w:rsid w:val="002D51DC"/>
    <w:rsid w:val="002D66F7"/>
    <w:rsid w:val="002D7121"/>
    <w:rsid w:val="002E3100"/>
    <w:rsid w:val="002E731F"/>
    <w:rsid w:val="002E7C0D"/>
    <w:rsid w:val="002F2C17"/>
    <w:rsid w:val="002F7B0B"/>
    <w:rsid w:val="00300872"/>
    <w:rsid w:val="00305B1A"/>
    <w:rsid w:val="003111E9"/>
    <w:rsid w:val="00311CDF"/>
    <w:rsid w:val="003160E4"/>
    <w:rsid w:val="00316584"/>
    <w:rsid w:val="00322C9C"/>
    <w:rsid w:val="00322DD0"/>
    <w:rsid w:val="00323701"/>
    <w:rsid w:val="003249A5"/>
    <w:rsid w:val="003255E6"/>
    <w:rsid w:val="00326111"/>
    <w:rsid w:val="00326DF2"/>
    <w:rsid w:val="003370E6"/>
    <w:rsid w:val="00341106"/>
    <w:rsid w:val="003424F2"/>
    <w:rsid w:val="00342882"/>
    <w:rsid w:val="00345EF7"/>
    <w:rsid w:val="00351252"/>
    <w:rsid w:val="00361C50"/>
    <w:rsid w:val="00367174"/>
    <w:rsid w:val="00370DBE"/>
    <w:rsid w:val="00372296"/>
    <w:rsid w:val="00372B57"/>
    <w:rsid w:val="00374887"/>
    <w:rsid w:val="00380994"/>
    <w:rsid w:val="003813CD"/>
    <w:rsid w:val="00381839"/>
    <w:rsid w:val="00382299"/>
    <w:rsid w:val="00393365"/>
    <w:rsid w:val="00394B0B"/>
    <w:rsid w:val="00397B31"/>
    <w:rsid w:val="003A21D7"/>
    <w:rsid w:val="003A5707"/>
    <w:rsid w:val="003A6278"/>
    <w:rsid w:val="003A7144"/>
    <w:rsid w:val="003B1AE3"/>
    <w:rsid w:val="003B7621"/>
    <w:rsid w:val="003B772E"/>
    <w:rsid w:val="003C1DE2"/>
    <w:rsid w:val="003C1FA3"/>
    <w:rsid w:val="003C2D5C"/>
    <w:rsid w:val="003C5F07"/>
    <w:rsid w:val="003D07CE"/>
    <w:rsid w:val="003D1949"/>
    <w:rsid w:val="003D7035"/>
    <w:rsid w:val="003E08D0"/>
    <w:rsid w:val="003E20CA"/>
    <w:rsid w:val="003E467A"/>
    <w:rsid w:val="003E5054"/>
    <w:rsid w:val="003E6D4E"/>
    <w:rsid w:val="003F4AE9"/>
    <w:rsid w:val="003F4FEB"/>
    <w:rsid w:val="003F5E8B"/>
    <w:rsid w:val="00404D9D"/>
    <w:rsid w:val="00405A44"/>
    <w:rsid w:val="004066C3"/>
    <w:rsid w:val="00410EEA"/>
    <w:rsid w:val="004136E4"/>
    <w:rsid w:val="00414BF0"/>
    <w:rsid w:val="00421BE7"/>
    <w:rsid w:val="00427783"/>
    <w:rsid w:val="00430313"/>
    <w:rsid w:val="00432384"/>
    <w:rsid w:val="00432EA0"/>
    <w:rsid w:val="00435A1D"/>
    <w:rsid w:val="004470DA"/>
    <w:rsid w:val="00457B1D"/>
    <w:rsid w:val="00463C51"/>
    <w:rsid w:val="00466DB9"/>
    <w:rsid w:val="004713E6"/>
    <w:rsid w:val="00474898"/>
    <w:rsid w:val="00476732"/>
    <w:rsid w:val="004770D0"/>
    <w:rsid w:val="00481158"/>
    <w:rsid w:val="00485B12"/>
    <w:rsid w:val="00491352"/>
    <w:rsid w:val="00494B32"/>
    <w:rsid w:val="00497B5F"/>
    <w:rsid w:val="004A01E8"/>
    <w:rsid w:val="004A364A"/>
    <w:rsid w:val="004A7A0A"/>
    <w:rsid w:val="004B2924"/>
    <w:rsid w:val="004B314D"/>
    <w:rsid w:val="004C1724"/>
    <w:rsid w:val="004C22D9"/>
    <w:rsid w:val="004C2505"/>
    <w:rsid w:val="004C5F65"/>
    <w:rsid w:val="004C7CF0"/>
    <w:rsid w:val="004D00C4"/>
    <w:rsid w:val="004E3D6B"/>
    <w:rsid w:val="004E43DE"/>
    <w:rsid w:val="004F141C"/>
    <w:rsid w:val="004F2B71"/>
    <w:rsid w:val="004F3800"/>
    <w:rsid w:val="004F4630"/>
    <w:rsid w:val="004F6642"/>
    <w:rsid w:val="0050000A"/>
    <w:rsid w:val="00503718"/>
    <w:rsid w:val="0050565F"/>
    <w:rsid w:val="00514415"/>
    <w:rsid w:val="00517B64"/>
    <w:rsid w:val="00522794"/>
    <w:rsid w:val="00522B31"/>
    <w:rsid w:val="0052701D"/>
    <w:rsid w:val="005300C5"/>
    <w:rsid w:val="00535439"/>
    <w:rsid w:val="005418AE"/>
    <w:rsid w:val="005552D7"/>
    <w:rsid w:val="005559BF"/>
    <w:rsid w:val="005572A6"/>
    <w:rsid w:val="005573AA"/>
    <w:rsid w:val="00557539"/>
    <w:rsid w:val="0056084F"/>
    <w:rsid w:val="005652E2"/>
    <w:rsid w:val="00567B3B"/>
    <w:rsid w:val="00573E12"/>
    <w:rsid w:val="00580686"/>
    <w:rsid w:val="00581B66"/>
    <w:rsid w:val="005842B9"/>
    <w:rsid w:val="00592925"/>
    <w:rsid w:val="005969E0"/>
    <w:rsid w:val="005A52CD"/>
    <w:rsid w:val="005B74C2"/>
    <w:rsid w:val="005C0AB7"/>
    <w:rsid w:val="005C1786"/>
    <w:rsid w:val="005C79AE"/>
    <w:rsid w:val="005D21B0"/>
    <w:rsid w:val="005D2227"/>
    <w:rsid w:val="005D400B"/>
    <w:rsid w:val="005D4E10"/>
    <w:rsid w:val="005E0B56"/>
    <w:rsid w:val="005E4680"/>
    <w:rsid w:val="005E5295"/>
    <w:rsid w:val="005E5640"/>
    <w:rsid w:val="005F71E0"/>
    <w:rsid w:val="005F7263"/>
    <w:rsid w:val="00600143"/>
    <w:rsid w:val="00601C45"/>
    <w:rsid w:val="00601D73"/>
    <w:rsid w:val="00602E38"/>
    <w:rsid w:val="006037DB"/>
    <w:rsid w:val="006043FE"/>
    <w:rsid w:val="006051B2"/>
    <w:rsid w:val="0060637B"/>
    <w:rsid w:val="006067DD"/>
    <w:rsid w:val="00606800"/>
    <w:rsid w:val="0060777F"/>
    <w:rsid w:val="006137CE"/>
    <w:rsid w:val="00615517"/>
    <w:rsid w:val="006200F0"/>
    <w:rsid w:val="006208CD"/>
    <w:rsid w:val="00621A7A"/>
    <w:rsid w:val="00621DD8"/>
    <w:rsid w:val="00624F4D"/>
    <w:rsid w:val="00625DA1"/>
    <w:rsid w:val="00626645"/>
    <w:rsid w:val="006274DF"/>
    <w:rsid w:val="0063517C"/>
    <w:rsid w:val="0063644A"/>
    <w:rsid w:val="006515DA"/>
    <w:rsid w:val="006549DF"/>
    <w:rsid w:val="00656457"/>
    <w:rsid w:val="00660C4D"/>
    <w:rsid w:val="00671BFF"/>
    <w:rsid w:val="0067349F"/>
    <w:rsid w:val="00674991"/>
    <w:rsid w:val="006801F9"/>
    <w:rsid w:val="006826AB"/>
    <w:rsid w:val="00683D67"/>
    <w:rsid w:val="00683E52"/>
    <w:rsid w:val="00695586"/>
    <w:rsid w:val="00696DE5"/>
    <w:rsid w:val="006A235B"/>
    <w:rsid w:val="006A68DC"/>
    <w:rsid w:val="006B5336"/>
    <w:rsid w:val="006B66BD"/>
    <w:rsid w:val="006B7FCF"/>
    <w:rsid w:val="006C4AE2"/>
    <w:rsid w:val="006C626E"/>
    <w:rsid w:val="006D1FF7"/>
    <w:rsid w:val="006D4D6A"/>
    <w:rsid w:val="006D5F94"/>
    <w:rsid w:val="006E15C2"/>
    <w:rsid w:val="006E519A"/>
    <w:rsid w:val="006E589B"/>
    <w:rsid w:val="006F014E"/>
    <w:rsid w:val="006F22E0"/>
    <w:rsid w:val="006F4505"/>
    <w:rsid w:val="006F4747"/>
    <w:rsid w:val="006F589C"/>
    <w:rsid w:val="00700FF2"/>
    <w:rsid w:val="0070150F"/>
    <w:rsid w:val="0070208F"/>
    <w:rsid w:val="0070494F"/>
    <w:rsid w:val="00710AD4"/>
    <w:rsid w:val="00725BE7"/>
    <w:rsid w:val="0072681A"/>
    <w:rsid w:val="00730AAF"/>
    <w:rsid w:val="00731779"/>
    <w:rsid w:val="00734AAF"/>
    <w:rsid w:val="00740737"/>
    <w:rsid w:val="00740C93"/>
    <w:rsid w:val="00742607"/>
    <w:rsid w:val="00750601"/>
    <w:rsid w:val="00752FD5"/>
    <w:rsid w:val="0076163E"/>
    <w:rsid w:val="00761D20"/>
    <w:rsid w:val="00763E31"/>
    <w:rsid w:val="00764631"/>
    <w:rsid w:val="00765099"/>
    <w:rsid w:val="00765F34"/>
    <w:rsid w:val="00776890"/>
    <w:rsid w:val="0078022A"/>
    <w:rsid w:val="00781C81"/>
    <w:rsid w:val="0078436A"/>
    <w:rsid w:val="007A0893"/>
    <w:rsid w:val="007A2D78"/>
    <w:rsid w:val="007A76FD"/>
    <w:rsid w:val="007A795B"/>
    <w:rsid w:val="007B1A3A"/>
    <w:rsid w:val="007B1DDD"/>
    <w:rsid w:val="007B452B"/>
    <w:rsid w:val="007B7536"/>
    <w:rsid w:val="007C33B6"/>
    <w:rsid w:val="007C4A8E"/>
    <w:rsid w:val="007C527D"/>
    <w:rsid w:val="007D1168"/>
    <w:rsid w:val="007D70F6"/>
    <w:rsid w:val="007D7689"/>
    <w:rsid w:val="007E5B65"/>
    <w:rsid w:val="007E65F4"/>
    <w:rsid w:val="007F0D88"/>
    <w:rsid w:val="007F7A55"/>
    <w:rsid w:val="0080138C"/>
    <w:rsid w:val="00801ED9"/>
    <w:rsid w:val="008040B2"/>
    <w:rsid w:val="00805125"/>
    <w:rsid w:val="00806359"/>
    <w:rsid w:val="008158AF"/>
    <w:rsid w:val="008163EC"/>
    <w:rsid w:val="00816743"/>
    <w:rsid w:val="00822321"/>
    <w:rsid w:val="00824850"/>
    <w:rsid w:val="008258A8"/>
    <w:rsid w:val="00825B79"/>
    <w:rsid w:val="00835E88"/>
    <w:rsid w:val="00841942"/>
    <w:rsid w:val="00841F6A"/>
    <w:rsid w:val="0084406D"/>
    <w:rsid w:val="00844DAA"/>
    <w:rsid w:val="00846619"/>
    <w:rsid w:val="00851CD0"/>
    <w:rsid w:val="008537B8"/>
    <w:rsid w:val="0085727C"/>
    <w:rsid w:val="00860CDB"/>
    <w:rsid w:val="00864210"/>
    <w:rsid w:val="00865F10"/>
    <w:rsid w:val="008662AD"/>
    <w:rsid w:val="00870202"/>
    <w:rsid w:val="008750DA"/>
    <w:rsid w:val="00875D0E"/>
    <w:rsid w:val="00876142"/>
    <w:rsid w:val="008766DB"/>
    <w:rsid w:val="008821C8"/>
    <w:rsid w:val="008830F7"/>
    <w:rsid w:val="00885996"/>
    <w:rsid w:val="00885BEB"/>
    <w:rsid w:val="00885D64"/>
    <w:rsid w:val="00886FC5"/>
    <w:rsid w:val="0089454C"/>
    <w:rsid w:val="0089544E"/>
    <w:rsid w:val="008A1B40"/>
    <w:rsid w:val="008A5009"/>
    <w:rsid w:val="008C511B"/>
    <w:rsid w:val="008C7406"/>
    <w:rsid w:val="008D05CD"/>
    <w:rsid w:val="008D633E"/>
    <w:rsid w:val="008E413C"/>
    <w:rsid w:val="008F147A"/>
    <w:rsid w:val="00901CE8"/>
    <w:rsid w:val="0091303D"/>
    <w:rsid w:val="00921839"/>
    <w:rsid w:val="009308E1"/>
    <w:rsid w:val="0093237D"/>
    <w:rsid w:val="00933A3C"/>
    <w:rsid w:val="00936981"/>
    <w:rsid w:val="0093717D"/>
    <w:rsid w:val="00943CA2"/>
    <w:rsid w:val="00944213"/>
    <w:rsid w:val="0094437E"/>
    <w:rsid w:val="00944D1F"/>
    <w:rsid w:val="00952690"/>
    <w:rsid w:val="009531EC"/>
    <w:rsid w:val="0095764B"/>
    <w:rsid w:val="0096120E"/>
    <w:rsid w:val="00962497"/>
    <w:rsid w:val="00971136"/>
    <w:rsid w:val="00975975"/>
    <w:rsid w:val="009818BE"/>
    <w:rsid w:val="00983B30"/>
    <w:rsid w:val="00983EF2"/>
    <w:rsid w:val="00990F48"/>
    <w:rsid w:val="009920E7"/>
    <w:rsid w:val="00993B50"/>
    <w:rsid w:val="0099669B"/>
    <w:rsid w:val="009A2D0F"/>
    <w:rsid w:val="009A7F31"/>
    <w:rsid w:val="009B1523"/>
    <w:rsid w:val="009B7A4C"/>
    <w:rsid w:val="009C0C34"/>
    <w:rsid w:val="009C1A63"/>
    <w:rsid w:val="009C7A2D"/>
    <w:rsid w:val="009D0294"/>
    <w:rsid w:val="009D2EF6"/>
    <w:rsid w:val="009D4A4A"/>
    <w:rsid w:val="009D6AE1"/>
    <w:rsid w:val="009D7A56"/>
    <w:rsid w:val="009E117E"/>
    <w:rsid w:val="009E3710"/>
    <w:rsid w:val="009F2350"/>
    <w:rsid w:val="009F2421"/>
    <w:rsid w:val="009F270A"/>
    <w:rsid w:val="009F44C4"/>
    <w:rsid w:val="009F58CF"/>
    <w:rsid w:val="00A03758"/>
    <w:rsid w:val="00A06D8A"/>
    <w:rsid w:val="00A132AC"/>
    <w:rsid w:val="00A32D50"/>
    <w:rsid w:val="00A402E8"/>
    <w:rsid w:val="00A42CC3"/>
    <w:rsid w:val="00A44D10"/>
    <w:rsid w:val="00A45752"/>
    <w:rsid w:val="00A468C6"/>
    <w:rsid w:val="00A51961"/>
    <w:rsid w:val="00A51E4A"/>
    <w:rsid w:val="00A57217"/>
    <w:rsid w:val="00A63C43"/>
    <w:rsid w:val="00A6718B"/>
    <w:rsid w:val="00A7098A"/>
    <w:rsid w:val="00A72F7D"/>
    <w:rsid w:val="00A82384"/>
    <w:rsid w:val="00A83090"/>
    <w:rsid w:val="00A925E6"/>
    <w:rsid w:val="00A94EF3"/>
    <w:rsid w:val="00A964AC"/>
    <w:rsid w:val="00AA028E"/>
    <w:rsid w:val="00AA034F"/>
    <w:rsid w:val="00AA12A2"/>
    <w:rsid w:val="00AA2501"/>
    <w:rsid w:val="00AB16B3"/>
    <w:rsid w:val="00AB2205"/>
    <w:rsid w:val="00AB3C0C"/>
    <w:rsid w:val="00AC28F2"/>
    <w:rsid w:val="00AC523E"/>
    <w:rsid w:val="00AC63C4"/>
    <w:rsid w:val="00AE5E8B"/>
    <w:rsid w:val="00AE73F4"/>
    <w:rsid w:val="00AF0F14"/>
    <w:rsid w:val="00AF397F"/>
    <w:rsid w:val="00AF7583"/>
    <w:rsid w:val="00B01143"/>
    <w:rsid w:val="00B05270"/>
    <w:rsid w:val="00B102E6"/>
    <w:rsid w:val="00B15B90"/>
    <w:rsid w:val="00B20B80"/>
    <w:rsid w:val="00B3454C"/>
    <w:rsid w:val="00B4040E"/>
    <w:rsid w:val="00B41ABB"/>
    <w:rsid w:val="00B427F5"/>
    <w:rsid w:val="00B45B97"/>
    <w:rsid w:val="00B5208D"/>
    <w:rsid w:val="00B5346C"/>
    <w:rsid w:val="00B54E72"/>
    <w:rsid w:val="00B615B1"/>
    <w:rsid w:val="00B73BE0"/>
    <w:rsid w:val="00B769B2"/>
    <w:rsid w:val="00B80870"/>
    <w:rsid w:val="00B85F59"/>
    <w:rsid w:val="00B86152"/>
    <w:rsid w:val="00B862E4"/>
    <w:rsid w:val="00B952A8"/>
    <w:rsid w:val="00B95892"/>
    <w:rsid w:val="00BA58A2"/>
    <w:rsid w:val="00BA59C9"/>
    <w:rsid w:val="00BA5B6B"/>
    <w:rsid w:val="00BC1D8A"/>
    <w:rsid w:val="00BC3921"/>
    <w:rsid w:val="00BC4B9E"/>
    <w:rsid w:val="00BC6FFF"/>
    <w:rsid w:val="00BE36D1"/>
    <w:rsid w:val="00BE4042"/>
    <w:rsid w:val="00BE4D58"/>
    <w:rsid w:val="00BF2877"/>
    <w:rsid w:val="00BF5C21"/>
    <w:rsid w:val="00C026BB"/>
    <w:rsid w:val="00C02DCB"/>
    <w:rsid w:val="00C11140"/>
    <w:rsid w:val="00C113B4"/>
    <w:rsid w:val="00C13A17"/>
    <w:rsid w:val="00C14712"/>
    <w:rsid w:val="00C17FD1"/>
    <w:rsid w:val="00C2117E"/>
    <w:rsid w:val="00C217E5"/>
    <w:rsid w:val="00C22422"/>
    <w:rsid w:val="00C2491B"/>
    <w:rsid w:val="00C252FB"/>
    <w:rsid w:val="00C26E7D"/>
    <w:rsid w:val="00C27035"/>
    <w:rsid w:val="00C35107"/>
    <w:rsid w:val="00C4247B"/>
    <w:rsid w:val="00C42554"/>
    <w:rsid w:val="00C45838"/>
    <w:rsid w:val="00C5290F"/>
    <w:rsid w:val="00C540D2"/>
    <w:rsid w:val="00C6307E"/>
    <w:rsid w:val="00C64C8E"/>
    <w:rsid w:val="00C6741D"/>
    <w:rsid w:val="00C733BA"/>
    <w:rsid w:val="00C77C29"/>
    <w:rsid w:val="00C821E9"/>
    <w:rsid w:val="00C8791A"/>
    <w:rsid w:val="00C90EE3"/>
    <w:rsid w:val="00C9697A"/>
    <w:rsid w:val="00C97A50"/>
    <w:rsid w:val="00CA20BC"/>
    <w:rsid w:val="00CA7817"/>
    <w:rsid w:val="00CB24F1"/>
    <w:rsid w:val="00CB580E"/>
    <w:rsid w:val="00CC5704"/>
    <w:rsid w:val="00CC637B"/>
    <w:rsid w:val="00CD02C7"/>
    <w:rsid w:val="00CD279A"/>
    <w:rsid w:val="00CE39E9"/>
    <w:rsid w:val="00CE71B5"/>
    <w:rsid w:val="00CF0845"/>
    <w:rsid w:val="00CF1F91"/>
    <w:rsid w:val="00D03009"/>
    <w:rsid w:val="00D03176"/>
    <w:rsid w:val="00D046FB"/>
    <w:rsid w:val="00D0484B"/>
    <w:rsid w:val="00D04B4C"/>
    <w:rsid w:val="00D06B84"/>
    <w:rsid w:val="00D07DED"/>
    <w:rsid w:val="00D11379"/>
    <w:rsid w:val="00D13F46"/>
    <w:rsid w:val="00D40FF8"/>
    <w:rsid w:val="00D5794A"/>
    <w:rsid w:val="00D64681"/>
    <w:rsid w:val="00D6703C"/>
    <w:rsid w:val="00D71C6E"/>
    <w:rsid w:val="00D7342E"/>
    <w:rsid w:val="00D756DB"/>
    <w:rsid w:val="00D804ED"/>
    <w:rsid w:val="00D80CD2"/>
    <w:rsid w:val="00D81997"/>
    <w:rsid w:val="00D84FCE"/>
    <w:rsid w:val="00D921E9"/>
    <w:rsid w:val="00D95803"/>
    <w:rsid w:val="00D975EC"/>
    <w:rsid w:val="00D9773B"/>
    <w:rsid w:val="00D97A88"/>
    <w:rsid w:val="00D97BB2"/>
    <w:rsid w:val="00DA4D4B"/>
    <w:rsid w:val="00DA5BF6"/>
    <w:rsid w:val="00DB30EF"/>
    <w:rsid w:val="00DB58B1"/>
    <w:rsid w:val="00DC09BB"/>
    <w:rsid w:val="00DD01DD"/>
    <w:rsid w:val="00DD2414"/>
    <w:rsid w:val="00DD5050"/>
    <w:rsid w:val="00DE1596"/>
    <w:rsid w:val="00DE5E97"/>
    <w:rsid w:val="00DE6518"/>
    <w:rsid w:val="00DE65A4"/>
    <w:rsid w:val="00DF365E"/>
    <w:rsid w:val="00DF5B3F"/>
    <w:rsid w:val="00DF7BAB"/>
    <w:rsid w:val="00E01350"/>
    <w:rsid w:val="00E042DF"/>
    <w:rsid w:val="00E11FF8"/>
    <w:rsid w:val="00E17875"/>
    <w:rsid w:val="00E232C5"/>
    <w:rsid w:val="00E25388"/>
    <w:rsid w:val="00E26385"/>
    <w:rsid w:val="00E27002"/>
    <w:rsid w:val="00E3687D"/>
    <w:rsid w:val="00E36E31"/>
    <w:rsid w:val="00E376F2"/>
    <w:rsid w:val="00E37748"/>
    <w:rsid w:val="00E42803"/>
    <w:rsid w:val="00E433DA"/>
    <w:rsid w:val="00E461ED"/>
    <w:rsid w:val="00E500BF"/>
    <w:rsid w:val="00E53190"/>
    <w:rsid w:val="00E5757C"/>
    <w:rsid w:val="00E63F34"/>
    <w:rsid w:val="00E673DF"/>
    <w:rsid w:val="00E67DE1"/>
    <w:rsid w:val="00E736CA"/>
    <w:rsid w:val="00E737F7"/>
    <w:rsid w:val="00E73ED9"/>
    <w:rsid w:val="00E8239E"/>
    <w:rsid w:val="00E8380F"/>
    <w:rsid w:val="00E87716"/>
    <w:rsid w:val="00E90C70"/>
    <w:rsid w:val="00E90CD5"/>
    <w:rsid w:val="00E9124C"/>
    <w:rsid w:val="00E9201E"/>
    <w:rsid w:val="00E93867"/>
    <w:rsid w:val="00E974BE"/>
    <w:rsid w:val="00EA50E2"/>
    <w:rsid w:val="00EA666B"/>
    <w:rsid w:val="00EA73F3"/>
    <w:rsid w:val="00EA77AE"/>
    <w:rsid w:val="00EB0C4F"/>
    <w:rsid w:val="00EB22A0"/>
    <w:rsid w:val="00EB5AD8"/>
    <w:rsid w:val="00EC501C"/>
    <w:rsid w:val="00EC6678"/>
    <w:rsid w:val="00EC66D0"/>
    <w:rsid w:val="00ED19C5"/>
    <w:rsid w:val="00ED367A"/>
    <w:rsid w:val="00EE1703"/>
    <w:rsid w:val="00EE3685"/>
    <w:rsid w:val="00EE4168"/>
    <w:rsid w:val="00EF682B"/>
    <w:rsid w:val="00F0049E"/>
    <w:rsid w:val="00F02CBB"/>
    <w:rsid w:val="00F06625"/>
    <w:rsid w:val="00F130A7"/>
    <w:rsid w:val="00F14D0F"/>
    <w:rsid w:val="00F203E7"/>
    <w:rsid w:val="00F21AFD"/>
    <w:rsid w:val="00F22A10"/>
    <w:rsid w:val="00F275A7"/>
    <w:rsid w:val="00F36686"/>
    <w:rsid w:val="00F41438"/>
    <w:rsid w:val="00F43C6A"/>
    <w:rsid w:val="00F448B3"/>
    <w:rsid w:val="00F51058"/>
    <w:rsid w:val="00F5744C"/>
    <w:rsid w:val="00F64E67"/>
    <w:rsid w:val="00F75FEC"/>
    <w:rsid w:val="00F76C9E"/>
    <w:rsid w:val="00F805E2"/>
    <w:rsid w:val="00F907E1"/>
    <w:rsid w:val="00F934A2"/>
    <w:rsid w:val="00F938C8"/>
    <w:rsid w:val="00F94485"/>
    <w:rsid w:val="00F9466A"/>
    <w:rsid w:val="00F95E1F"/>
    <w:rsid w:val="00FA172B"/>
    <w:rsid w:val="00FA2D4A"/>
    <w:rsid w:val="00FA41EA"/>
    <w:rsid w:val="00FA4776"/>
    <w:rsid w:val="00FA51E6"/>
    <w:rsid w:val="00FA6733"/>
    <w:rsid w:val="00FA6784"/>
    <w:rsid w:val="00FA72BA"/>
    <w:rsid w:val="00FA73CA"/>
    <w:rsid w:val="00FB2A9D"/>
    <w:rsid w:val="00FB3D93"/>
    <w:rsid w:val="00FB4825"/>
    <w:rsid w:val="00FC259B"/>
    <w:rsid w:val="00FD0656"/>
    <w:rsid w:val="00FD65F5"/>
    <w:rsid w:val="00FE12F7"/>
    <w:rsid w:val="00FE32D6"/>
    <w:rsid w:val="00FF12B0"/>
    <w:rsid w:val="00FF20ED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111"/>
  </w:style>
  <w:style w:type="paragraph" w:styleId="Titolo1">
    <w:name w:val="heading 1"/>
    <w:basedOn w:val="Normale"/>
    <w:next w:val="Normale"/>
    <w:link w:val="Titolo1Carattere"/>
    <w:uiPriority w:val="9"/>
    <w:qFormat/>
    <w:rsid w:val="00DC09B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09B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09B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C09B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C09B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C09B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9B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9B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9B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D20"/>
  </w:style>
  <w:style w:type="paragraph" w:styleId="Pidipagina">
    <w:name w:val="footer"/>
    <w:basedOn w:val="Normale"/>
    <w:link w:val="PidipaginaCarattere"/>
    <w:uiPriority w:val="99"/>
    <w:unhideWhenUsed/>
    <w:rsid w:val="0076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D20"/>
  </w:style>
  <w:style w:type="character" w:customStyle="1" w:styleId="Titolo1Carattere">
    <w:name w:val="Titolo 1 Carattere"/>
    <w:basedOn w:val="Carpredefinitoparagrafo"/>
    <w:link w:val="Titolo1"/>
    <w:uiPriority w:val="9"/>
    <w:rsid w:val="00DC0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0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0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C09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C09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C09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9B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9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eWeb">
    <w:name w:val="Normal (Web)"/>
    <w:basedOn w:val="Normale"/>
    <w:uiPriority w:val="99"/>
    <w:unhideWhenUsed/>
    <w:rsid w:val="00DC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90C7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90C7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E90C70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unhideWhenUsed/>
    <w:rsid w:val="00E90C70"/>
    <w:pPr>
      <w:spacing w:after="100"/>
      <w:ind w:left="660"/>
    </w:pPr>
  </w:style>
  <w:style w:type="character" w:styleId="Collegamentoipertestuale">
    <w:name w:val="Hyperlink"/>
    <w:basedOn w:val="Carpredefinitoparagrafo"/>
    <w:uiPriority w:val="99"/>
    <w:unhideWhenUsed/>
    <w:rsid w:val="00E90C70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0C70"/>
    <w:pPr>
      <w:numPr>
        <w:numId w:val="0"/>
      </w:numPr>
      <w:outlineLvl w:val="9"/>
    </w:pPr>
    <w:rPr>
      <w:lang w:eastAsia="it-IT"/>
    </w:rPr>
  </w:style>
  <w:style w:type="table" w:styleId="Grigliatabella">
    <w:name w:val="Table Grid"/>
    <w:basedOn w:val="Tabellanormale"/>
    <w:uiPriority w:val="39"/>
    <w:rsid w:val="00592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4-colore111">
    <w:name w:val="Tabella griglia 4 - colore 111"/>
    <w:basedOn w:val="Tabellanormale"/>
    <w:uiPriority w:val="49"/>
    <w:rsid w:val="00FA47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essunaspaziatura">
    <w:name w:val="No Spacing"/>
    <w:uiPriority w:val="1"/>
    <w:qFormat/>
    <w:rsid w:val="00F43C6A"/>
    <w:pPr>
      <w:widowControl w:val="0"/>
      <w:spacing w:after="0" w:line="240" w:lineRule="auto"/>
      <w:ind w:left="454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621A7A"/>
    <w:pPr>
      <w:ind w:left="720"/>
      <w:contextualSpacing/>
    </w:pPr>
  </w:style>
  <w:style w:type="character" w:customStyle="1" w:styleId="Elencoacolori-Colore1Carattere">
    <w:name w:val="Elenco a colori - Colore 1 Carattere"/>
    <w:aliases w:val="Elenco num ARGEA Carattere,List Paragraph1 Carattere,Elenco Bullet point Carattere,Reference list Carattere"/>
    <w:link w:val="Elencoacolori-Colore1"/>
    <w:uiPriority w:val="34"/>
    <w:rsid w:val="00BF2877"/>
    <w:rPr>
      <w:rFonts w:ascii="Georgia" w:eastAsia="Times New Roman" w:hAnsi="Georgia" w:cs="Times New Roman"/>
      <w:sz w:val="20"/>
    </w:rPr>
  </w:style>
  <w:style w:type="paragraph" w:customStyle="1" w:styleId="Corpodeltesto1">
    <w:name w:val="Corpo del testo1"/>
    <w:basedOn w:val="Normale"/>
    <w:link w:val="CorpodeltestoChar"/>
    <w:qFormat/>
    <w:rsid w:val="00BF2877"/>
    <w:pPr>
      <w:spacing w:before="120" w:after="0" w:line="240" w:lineRule="auto"/>
      <w:jc w:val="both"/>
    </w:pPr>
    <w:rPr>
      <w:rFonts w:ascii="Arial" w:eastAsia="Arial" w:hAnsi="Arial" w:cs="Times New Roman"/>
      <w:noProof/>
      <w:sz w:val="20"/>
      <w:szCs w:val="21"/>
      <w:shd w:val="clear" w:color="auto" w:fill="FFFFFF"/>
      <w:lang w:eastAsia="it-IT"/>
    </w:rPr>
  </w:style>
  <w:style w:type="character" w:customStyle="1" w:styleId="CorpodeltestoChar">
    <w:name w:val="Corpo del testo Char"/>
    <w:link w:val="Corpodeltesto1"/>
    <w:rsid w:val="00BF2877"/>
    <w:rPr>
      <w:rFonts w:ascii="Arial" w:eastAsia="Arial" w:hAnsi="Arial" w:cs="Times New Roman"/>
      <w:noProof/>
      <w:sz w:val="20"/>
      <w:szCs w:val="21"/>
      <w:lang w:eastAsia="it-IT"/>
    </w:rPr>
  </w:style>
  <w:style w:type="table" w:styleId="Elencoacolori-Colore1">
    <w:name w:val="Colorful List Accent 1"/>
    <w:basedOn w:val="Tabellanormale"/>
    <w:link w:val="Elencoacolori-Colore1Carattere"/>
    <w:uiPriority w:val="34"/>
    <w:semiHidden/>
    <w:unhideWhenUsed/>
    <w:rsid w:val="00BF2877"/>
    <w:pPr>
      <w:spacing w:after="0" w:line="240" w:lineRule="auto"/>
    </w:pPr>
    <w:rPr>
      <w:rFonts w:ascii="Georgia" w:eastAsia="Times New Roman" w:hAnsi="Georgia" w:cs="Times New Roman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Paragraph">
    <w:name w:val="Table Paragraph"/>
    <w:basedOn w:val="Normale"/>
    <w:uiPriority w:val="1"/>
    <w:qFormat/>
    <w:rsid w:val="008750DA"/>
    <w:pPr>
      <w:widowControl w:val="0"/>
      <w:spacing w:after="0" w:line="240" w:lineRule="auto"/>
      <w:ind w:left="103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8750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750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750DA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981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67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811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8FE3-6FF6-4061-93F0-123A4BAC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Proprietario</cp:lastModifiedBy>
  <cp:revision>3</cp:revision>
  <cp:lastPrinted>2023-12-18T09:07:00Z</cp:lastPrinted>
  <dcterms:created xsi:type="dcterms:W3CDTF">2023-12-26T11:24:00Z</dcterms:created>
  <dcterms:modified xsi:type="dcterms:W3CDTF">2025-09-19T12:30:00Z</dcterms:modified>
</cp:coreProperties>
</file>